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691B6" w14:textId="77777777" w:rsidR="007A69B2" w:rsidRPr="007A69B2" w:rsidRDefault="007A69B2" w:rsidP="007A69B2">
      <w:pPr>
        <w:pStyle w:val="normal0"/>
        <w:pBdr>
          <w:top w:val="nil"/>
          <w:left w:val="nil"/>
          <w:bottom w:val="nil"/>
          <w:right w:val="nil"/>
          <w:between w:val="nil"/>
        </w:pBdr>
        <w:jc w:val="both"/>
        <w:rPr>
          <w:rFonts w:ascii="Arial" w:eastAsia="Arial" w:hAnsi="Arial" w:cs="Arial"/>
          <w:b/>
          <w:bCs/>
          <w:color w:val="C48489"/>
          <w:sz w:val="48"/>
          <w:szCs w:val="48"/>
          <w:lang w:val="en-GB"/>
        </w:rPr>
      </w:pPr>
      <w:r w:rsidRPr="007A69B2">
        <w:rPr>
          <w:rFonts w:ascii="Arial" w:eastAsia="Arial" w:hAnsi="Arial" w:cs="Arial"/>
          <w:b/>
          <w:bCs/>
          <w:color w:val="C48489"/>
          <w:sz w:val="48"/>
          <w:szCs w:val="48"/>
          <w:lang w:val="en-GB"/>
        </w:rPr>
        <w:t>IPHES-CERCA strengthens its commitment to a fairer and more responsible research assessment</w:t>
      </w:r>
    </w:p>
    <w:p w14:paraId="7A3E6F6B" w14:textId="77777777" w:rsidR="00487C57" w:rsidRDefault="00487C57">
      <w:pPr>
        <w:pStyle w:val="normal0"/>
        <w:pBdr>
          <w:top w:val="nil"/>
          <w:left w:val="nil"/>
          <w:bottom w:val="nil"/>
          <w:right w:val="nil"/>
          <w:between w:val="nil"/>
        </w:pBdr>
        <w:jc w:val="both"/>
        <w:rPr>
          <w:rFonts w:ascii="Arial" w:eastAsia="Arial" w:hAnsi="Arial" w:cs="Arial"/>
          <w:b/>
          <w:bCs/>
          <w:color w:val="C48489"/>
          <w:sz w:val="24"/>
          <w:szCs w:val="24"/>
        </w:rPr>
      </w:pPr>
    </w:p>
    <w:p w14:paraId="661F11F1" w14:textId="145287F4" w:rsidR="007A69B2" w:rsidRPr="007A69B2" w:rsidRDefault="007A69B2" w:rsidP="007A69B2">
      <w:pPr>
        <w:pStyle w:val="normal0"/>
        <w:pBdr>
          <w:top w:val="nil"/>
          <w:left w:val="nil"/>
          <w:bottom w:val="nil"/>
          <w:right w:val="nil"/>
          <w:between w:val="nil"/>
        </w:pBdr>
        <w:jc w:val="both"/>
        <w:rPr>
          <w:rFonts w:ascii="Arial" w:eastAsia="Arial" w:hAnsi="Arial" w:cs="Arial"/>
          <w:color w:val="000000"/>
          <w:sz w:val="24"/>
          <w:szCs w:val="24"/>
          <w:lang w:val="en-GB"/>
        </w:rPr>
      </w:pPr>
      <w:r w:rsidRPr="007A69B2">
        <w:rPr>
          <w:rFonts w:ascii="Arial" w:eastAsia="Arial" w:hAnsi="Arial" w:cs="Arial"/>
          <w:color w:val="B66E76"/>
          <w:sz w:val="24"/>
          <w:szCs w:val="24"/>
          <w:lang w:val="en-GB"/>
        </w:rPr>
        <w:t>Tarragona, 16 January 2026</w:t>
      </w:r>
      <w:r w:rsidR="005428EB" w:rsidRPr="00032410">
        <w:rPr>
          <w:rFonts w:ascii="Arial" w:eastAsia="Arial" w:hAnsi="Arial" w:cs="Arial"/>
          <w:color w:val="000000"/>
          <w:sz w:val="24"/>
          <w:szCs w:val="24"/>
        </w:rPr>
        <w:t>.</w:t>
      </w:r>
      <w:r w:rsidR="0044080A">
        <w:rPr>
          <w:rFonts w:ascii="Arial" w:eastAsia="Arial" w:hAnsi="Arial" w:cs="Arial"/>
          <w:color w:val="000000"/>
          <w:lang w:val="en-GB"/>
        </w:rPr>
        <w:t xml:space="preserve"> </w:t>
      </w:r>
      <w:r w:rsidRPr="007A69B2">
        <w:rPr>
          <w:rFonts w:ascii="Arial" w:eastAsia="Arial" w:hAnsi="Arial" w:cs="Arial"/>
          <w:sz w:val="24"/>
          <w:szCs w:val="24"/>
          <w:lang w:val="en-GB"/>
        </w:rPr>
        <w:t xml:space="preserve">IPHES-CERCA has recently formalised its adhesion to </w:t>
      </w:r>
      <w:hyperlink r:id="rId8" w:history="1">
        <w:r w:rsidRPr="007A69B2">
          <w:rPr>
            <w:rStyle w:val="Hipervnculo"/>
            <w:rFonts w:ascii="Arial" w:eastAsia="Arial" w:hAnsi="Arial" w:cs="Arial"/>
            <w:sz w:val="24"/>
            <w:szCs w:val="24"/>
            <w:lang w:val="en-GB"/>
          </w:rPr>
          <w:t>CoARA</w:t>
        </w:r>
      </w:hyperlink>
      <w:r w:rsidRPr="007A69B2">
        <w:rPr>
          <w:rFonts w:ascii="Arial" w:eastAsia="Arial" w:hAnsi="Arial" w:cs="Arial"/>
          <w:sz w:val="24"/>
          <w:szCs w:val="24"/>
          <w:lang w:val="en-GB"/>
        </w:rPr>
        <w:t xml:space="preserve"> (</w:t>
      </w:r>
      <w:r w:rsidRPr="007A69B2">
        <w:rPr>
          <w:rFonts w:ascii="Arial" w:eastAsia="Arial" w:hAnsi="Arial" w:cs="Arial"/>
          <w:i/>
          <w:sz w:val="24"/>
          <w:szCs w:val="24"/>
          <w:lang w:val="en-GB"/>
        </w:rPr>
        <w:t>Coalition for Advancing Research Assessment</w:t>
      </w:r>
      <w:r w:rsidRPr="007A69B2">
        <w:rPr>
          <w:rFonts w:ascii="Arial" w:eastAsia="Arial" w:hAnsi="Arial" w:cs="Arial"/>
          <w:sz w:val="24"/>
          <w:szCs w:val="24"/>
          <w:lang w:val="en-GB"/>
        </w:rPr>
        <w:t>), an international initiative that promotes a profound transformation of research assessment systems to make them more equitable, transparent and better adapted to the diversity of scientific practices.</w:t>
      </w:r>
    </w:p>
    <w:p w14:paraId="0D92213A" w14:textId="5994F02C"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 xml:space="preserve">Driven by </w:t>
      </w:r>
      <w:r w:rsidRPr="007A69B2">
        <w:rPr>
          <w:rFonts w:ascii="Arial" w:eastAsia="Arial" w:hAnsi="Arial" w:cs="Arial"/>
          <w:i/>
          <w:sz w:val="24"/>
          <w:szCs w:val="24"/>
          <w:lang w:val="en-GB"/>
        </w:rPr>
        <w:t>Science Europe</w:t>
      </w:r>
      <w:r w:rsidRPr="007A69B2">
        <w:rPr>
          <w:rFonts w:ascii="Arial" w:eastAsia="Arial" w:hAnsi="Arial" w:cs="Arial"/>
          <w:sz w:val="24"/>
          <w:szCs w:val="24"/>
          <w:lang w:val="en-GB"/>
        </w:rPr>
        <w:t xml:space="preserve"> and the </w:t>
      </w:r>
      <w:r w:rsidRPr="007A69B2">
        <w:rPr>
          <w:rFonts w:ascii="Arial" w:eastAsia="Arial" w:hAnsi="Arial" w:cs="Arial"/>
          <w:i/>
          <w:sz w:val="24"/>
          <w:szCs w:val="24"/>
          <w:lang w:val="en-GB"/>
        </w:rPr>
        <w:t>European University Association</w:t>
      </w:r>
      <w:r w:rsidRPr="007A69B2">
        <w:rPr>
          <w:rFonts w:ascii="Arial" w:eastAsia="Arial" w:hAnsi="Arial" w:cs="Arial"/>
          <w:sz w:val="24"/>
          <w:szCs w:val="24"/>
          <w:lang w:val="en-GB"/>
        </w:rPr>
        <w:t>, and established in July 2022 with the support of the European Commission, CoARA aims to move beyond assessment models based almost exclusively on bibliometric indicators, by recognising the plurality of outcomes, impacts and contributions of research activity.</w:t>
      </w:r>
    </w:p>
    <w:p w14:paraId="49D1F2C5" w14:textId="7D419F9B"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Currently, more than 800 organisations from over 40 countries are members of this coalition, sharing a commitment to implementing assessment standards that take into account the specificities of each scientific discipline, as well as the diversity of institutions and professional career paths.</w:t>
      </w:r>
    </w:p>
    <w:p w14:paraId="4794A705" w14:textId="42136620"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In this context, joining CoARA represents a strategic step for IPHES-CERCA. As an interdisciplinary research centre specialising in Prehistory and Human Evolution, many of its core activities (such as field research, knowledge transfer, teaching, science communication and social impact) are not always adequately recognised by traditional assessment systems.</w:t>
      </w:r>
    </w:p>
    <w:p w14:paraId="028C1327" w14:textId="09F9753D"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As noted by Isabel Cáceres, Head of Research at IPHES-CERCA, being part of CoARA “will help us implement an assessment model that truly values the diversity and quality of the centre’s scientific contributions, as well as the knowledge we generate and disseminate about the past, present and future of humankind”.</w:t>
      </w:r>
    </w:p>
    <w:p w14:paraId="473E445C" w14:textId="6FB4E671"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lastRenderedPageBreak/>
        <w:t>Membership in the coalition will enable IPHES-CERCA to more accurately identify the shortcomings of conventional assessment indicators when these are not aligned with institutional values or with the real practices of its scientific community.</w:t>
      </w:r>
    </w:p>
    <w:p w14:paraId="0B192202" w14:textId="3344C135"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Within this framework, throughout 2026 the centre will promote a co-creation process involving research staff and governance bodies to develop its own Action Plan, in compliance with the commitments acquired as a signatory of the CoARA Agreement.</w:t>
      </w:r>
    </w:p>
    <w:p w14:paraId="5E3A5EC5" w14:textId="77777777" w:rsidR="007A69B2" w:rsidRPr="007A69B2" w:rsidRDefault="007A69B2" w:rsidP="007A69B2">
      <w:pPr>
        <w:pStyle w:val="normal0"/>
        <w:pBdr>
          <w:top w:val="nil"/>
          <w:left w:val="nil"/>
          <w:bottom w:val="nil"/>
          <w:right w:val="nil"/>
          <w:between w:val="nil"/>
        </w:pBdr>
        <w:jc w:val="both"/>
        <w:rPr>
          <w:rFonts w:ascii="Arial" w:eastAsia="Arial" w:hAnsi="Arial" w:cs="Arial"/>
          <w:sz w:val="24"/>
          <w:szCs w:val="24"/>
          <w:lang w:val="en-GB"/>
        </w:rPr>
      </w:pPr>
      <w:r w:rsidRPr="007A69B2">
        <w:rPr>
          <w:rFonts w:ascii="Arial" w:eastAsia="Arial" w:hAnsi="Arial" w:cs="Arial"/>
          <w:sz w:val="24"/>
          <w:szCs w:val="24"/>
          <w:lang w:val="en-GB"/>
        </w:rPr>
        <w:t>Through this initiative, IPHES-CERCA reaffirms its commitment to actively contributing to the transformation of the European research system, promoting a more responsible, inclusive and coherent research assessment aligned with the values of open science and service to society.</w:t>
      </w:r>
    </w:p>
    <w:p w14:paraId="569E8D3F" w14:textId="70E36DC0" w:rsidR="00487C57" w:rsidRDefault="00487C57" w:rsidP="008C17A5">
      <w:pPr>
        <w:pStyle w:val="normal0"/>
        <w:pBdr>
          <w:top w:val="nil"/>
          <w:left w:val="nil"/>
          <w:bottom w:val="nil"/>
          <w:right w:val="nil"/>
          <w:between w:val="nil"/>
        </w:pBdr>
        <w:jc w:val="both"/>
        <w:rPr>
          <w:rFonts w:ascii="Arial" w:eastAsia="Arial" w:hAnsi="Arial" w:cs="Arial"/>
          <w:sz w:val="24"/>
          <w:szCs w:val="24"/>
        </w:rPr>
      </w:pPr>
      <w:bookmarkStart w:id="0" w:name="_GoBack"/>
      <w:bookmarkEnd w:id="0"/>
    </w:p>
    <w:sectPr w:rsidR="00487C57">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9421E" w14:textId="77777777" w:rsidR="009B2061" w:rsidRDefault="005428EB">
      <w:pPr>
        <w:spacing w:after="0" w:line="240" w:lineRule="auto"/>
      </w:pPr>
      <w:r>
        <w:separator/>
      </w:r>
    </w:p>
  </w:endnote>
  <w:endnote w:type="continuationSeparator" w:id="0">
    <w:p w14:paraId="1EB41088" w14:textId="77777777" w:rsidR="009B2061" w:rsidRDefault="0054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ans">
    <w:altName w:val="Arial"/>
    <w:charset w:val="00"/>
    <w:family w:val="swiss"/>
    <w:pitch w:val="variable"/>
  </w:font>
  <w:font w:name="Microsoft YaHei">
    <w:charset w:val="86"/>
    <w:family w:val="swiss"/>
    <w:pitch w:val="variable"/>
    <w:sig w:usb0="80000287" w:usb1="2ACF3C50" w:usb2="00000016" w:usb3="00000000" w:csb0="0004001F" w:csb1="00000000"/>
  </w:font>
  <w:font w:name="Lucida Sans">
    <w:panose1 w:val="020B0602030504020204"/>
    <w:charset w:val="00"/>
    <w:family w:val="auto"/>
    <w:pitch w:val="variable"/>
    <w:sig w:usb0="00000003" w:usb1="00000000" w:usb2="00000000" w:usb3="00000000" w:csb0="00000001" w:csb1="00000000"/>
  </w:font>
  <w:font w:name="Liberation Mono">
    <w:altName w:val="Times New Roman"/>
    <w:panose1 w:val="00000000000000000000"/>
    <w:charset w:val="00"/>
    <w:family w:val="roman"/>
    <w:notTrueType/>
    <w:pitch w:val="default"/>
  </w:font>
  <w:font w:name="Source Serif Variable">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1E6B"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3D92DA1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45C5A1C9"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9DC7868"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2A040633"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3DAC" w14:textId="77777777" w:rsidR="00487C57" w:rsidRDefault="005428EB">
    <w:pPr>
      <w:pStyle w:val="normal0"/>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2ABB312"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30018D3C"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 607 981 250</w:t>
    </w:r>
  </w:p>
  <w:p w14:paraId="46940C84" w14:textId="77777777" w:rsidR="00487C57" w:rsidRDefault="005428EB">
    <w:pPr>
      <w:pStyle w:val="normal0"/>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 Edificio W3)</w:t>
    </w:r>
  </w:p>
  <w:p w14:paraId="38B0F600" w14:textId="77777777" w:rsidR="00487C57" w:rsidRDefault="005428EB">
    <w:pPr>
      <w:pStyle w:val="normal0"/>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D8920" w14:textId="77777777" w:rsidR="009B2061" w:rsidRDefault="005428EB">
      <w:pPr>
        <w:spacing w:after="0" w:line="240" w:lineRule="auto"/>
      </w:pPr>
      <w:r>
        <w:separator/>
      </w:r>
    </w:p>
  </w:footnote>
  <w:footnote w:type="continuationSeparator" w:id="0">
    <w:p w14:paraId="3C55140B" w14:textId="77777777" w:rsidR="009B2061" w:rsidRDefault="005428E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2DD8"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248D98CD"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672BC870"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60FCA"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B98A601"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tbl>
    <w:tblPr>
      <w:tblStyle w:val="a2"/>
      <w:tblW w:w="9216"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9216"/>
    </w:tblGrid>
    <w:tr w:rsidR="00487C57" w14:paraId="42B7A3C3" w14:textId="77777777">
      <w:tc>
        <w:tcPr>
          <w:tcW w:w="9216" w:type="dxa"/>
        </w:tcPr>
        <w:p w14:paraId="3A25443D" w14:textId="77777777" w:rsidR="00487C57" w:rsidRDefault="005428EB">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noProof/>
              <w:color w:val="000000"/>
              <w:sz w:val="26"/>
              <w:szCs w:val="26"/>
              <w:lang w:val="es-ES"/>
            </w:rPr>
            <w:drawing>
              <wp:inline distT="0" distB="0" distL="0" distR="0" wp14:anchorId="1339338E" wp14:editId="147B8FED">
                <wp:extent cx="5713095" cy="60393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3095" cy="603931"/>
                        </a:xfrm>
                        <a:prstGeom prst="rect">
                          <a:avLst/>
                        </a:prstGeom>
                        <a:ln/>
                      </pic:spPr>
                    </pic:pic>
                  </a:graphicData>
                </a:graphic>
              </wp:inline>
            </w:drawing>
          </w:r>
        </w:p>
      </w:tc>
    </w:tr>
  </w:tbl>
  <w:p w14:paraId="1A12543F"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4C36B7A6" w14:textId="77777777" w:rsidR="00487C57" w:rsidRDefault="00487C57">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b/>
        <w:bCs/>
        <w:color w:val="A03033"/>
        <w:sz w:val="32"/>
        <w:szCs w:val="32"/>
      </w:rPr>
    </w:pPr>
  </w:p>
  <w:p w14:paraId="171BD617" w14:textId="31B3E340" w:rsidR="007A69B2" w:rsidRPr="007A69B2" w:rsidRDefault="007A69B2" w:rsidP="007A69B2">
    <w:pPr>
      <w:pStyle w:val="normal0"/>
      <w:pBdr>
        <w:top w:val="nil"/>
        <w:left w:val="nil"/>
        <w:bottom w:val="nil"/>
        <w:right w:val="nil"/>
        <w:between w:val="nil"/>
      </w:pBdr>
      <w:tabs>
        <w:tab w:val="center" w:pos="4419"/>
        <w:tab w:val="right" w:pos="8838"/>
      </w:tabs>
      <w:spacing w:after="0"/>
      <w:rPr>
        <w:rFonts w:ascii="Gill Sans" w:eastAsia="Gill Sans" w:hAnsi="Gill Sans" w:cs="Gill Sans"/>
        <w:b/>
        <w:bCs/>
        <w:color w:val="A03033"/>
        <w:sz w:val="32"/>
        <w:szCs w:val="32"/>
        <w:lang w:val="en-GB"/>
      </w:rPr>
    </w:pPr>
    <w:r w:rsidRPr="007A69B2">
      <w:rPr>
        <w:rFonts w:ascii="Gill Sans" w:eastAsia="Gill Sans" w:hAnsi="Gill Sans" w:cs="Gill Sans"/>
        <w:b/>
        <w:bCs/>
        <w:color w:val="A03033"/>
        <w:sz w:val="32"/>
        <w:szCs w:val="32"/>
        <w:lang w:val="en-GB"/>
      </w:rPr>
      <w:t>PRESS RELEASE</w:t>
    </w:r>
  </w:p>
  <w:p w14:paraId="558AC896" w14:textId="77777777" w:rsidR="00487C57" w:rsidRDefault="005428EB">
    <w:pPr>
      <w:pStyle w:val="normal0"/>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483E16C8" w14:textId="77777777" w:rsidR="00487C57" w:rsidRDefault="00941BBC">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hyperlink r:id="rId2">
      <w:r w:rsidR="005428EB">
        <w:rPr>
          <w:rFonts w:ascii="Gill Sans" w:eastAsia="Gill Sans" w:hAnsi="Gill Sans" w:cs="Gill Sans"/>
          <w:color w:val="0000FF"/>
          <w:sz w:val="26"/>
          <w:szCs w:val="26"/>
          <w:u w:val="single"/>
        </w:rPr>
        <w:t>www.iphes.cat</w:t>
      </w:r>
    </w:hyperlink>
  </w:p>
  <w:p w14:paraId="10FCCCE7"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796A62"/>
        <w:sz w:val="26"/>
        <w:szCs w:val="26"/>
      </w:rPr>
    </w:pPr>
  </w:p>
  <w:p w14:paraId="4D4D7004" w14:textId="77777777" w:rsidR="00487C57" w:rsidRDefault="00487C57">
    <w:pPr>
      <w:pStyle w:val="normal0"/>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2ECF28D7" w14:textId="77777777" w:rsidR="00487C57" w:rsidRDefault="00487C57">
    <w:pPr>
      <w:pStyle w:val="normal0"/>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7C57"/>
    <w:rsid w:val="00032410"/>
    <w:rsid w:val="002B6E83"/>
    <w:rsid w:val="0044080A"/>
    <w:rsid w:val="00487C57"/>
    <w:rsid w:val="004F4711"/>
    <w:rsid w:val="005428EB"/>
    <w:rsid w:val="007A69B2"/>
    <w:rsid w:val="008C17A5"/>
    <w:rsid w:val="00941BBC"/>
    <w:rsid w:val="009B2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A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z-Cyrl-UZ"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bCs/>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bCs/>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bCs/>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bCs/>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bCs/>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bCs/>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tulo">
    <w:name w:val="Title"/>
    <w:basedOn w:val="normal0"/>
    <w:next w:val="normal0"/>
    <w:pPr>
      <w:keepNext/>
      <w:keepLines/>
      <w:pBdr>
        <w:top w:val="nil"/>
        <w:left w:val="nil"/>
        <w:bottom w:val="nil"/>
        <w:right w:val="nil"/>
        <w:between w:val="nil"/>
      </w:pBdr>
      <w:spacing w:before="480" w:after="120"/>
    </w:pPr>
    <w:rPr>
      <w:b/>
      <w:bCs/>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1">
    <w:name w:val="TableNormal"/>
    <w:tblPr>
      <w:tblCellMar>
        <w:top w:w="100" w:type="dxa"/>
        <w:left w:w="100" w:type="dxa"/>
        <w:bottom w:w="100" w:type="dxa"/>
        <w:right w:w="100" w:type="dxa"/>
      </w:tblCellMar>
    </w:tblPr>
  </w:style>
  <w:style w:type="paragraph" w:customStyle="1" w:styleId="Normal10">
    <w:name w:val="Normal1"/>
  </w:style>
  <w:style w:type="table" w:customStyle="1" w:styleId="TableNormal2">
    <w:name w:val="TableNormal"/>
    <w:tblPr>
      <w:tblCellMar>
        <w:top w:w="100" w:type="dxa"/>
        <w:left w:w="100" w:type="dxa"/>
        <w:bottom w:w="100" w:type="dxa"/>
        <w:right w:w="100" w:type="dxa"/>
      </w:tblCellMar>
    </w:tblPr>
  </w:style>
  <w:style w:type="paragraph" w:customStyle="1" w:styleId="Normal2">
    <w:name w:val="Normal2"/>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
    <w:uiPriority w:val="99"/>
    <w:qFormat/>
    <w:rsid w:val="00AA788A"/>
  </w:style>
  <w:style w:type="character" w:customStyle="1" w:styleId="PiedepginaCar">
    <w:name w:val="Pie de página Car"/>
    <w:basedOn w:val="Fuentedeprrafopredeter"/>
    <w:link w:val="Piedepgina"/>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paragraph" w:customStyle="1" w:styleId="Encapalament">
    <w:name w:val="Encapçalament"/>
    <w:basedOn w:val="Normal2"/>
    <w:next w:val="Textodecuerpo"/>
    <w:qFormat/>
    <w:pPr>
      <w:keepNext/>
      <w:spacing w:before="240" w:after="120"/>
    </w:pPr>
    <w:rPr>
      <w:rFonts w:ascii="Liberation Sans" w:eastAsia="Microsoft YaHei" w:hAnsi="Liberation Sans" w:cs="Lucida Sans"/>
      <w:sz w:val="28"/>
      <w:szCs w:val="28"/>
    </w:rPr>
  </w:style>
  <w:style w:type="paragraph" w:styleId="Textodecuerpo">
    <w:name w:val="Body Text"/>
    <w:basedOn w:val="Normal2"/>
    <w:pPr>
      <w:spacing w:after="140" w:line="276" w:lineRule="auto"/>
    </w:pPr>
  </w:style>
  <w:style w:type="paragraph" w:styleId="Lista">
    <w:name w:val="List"/>
    <w:basedOn w:val="Textodecuerpo"/>
    <w:rPr>
      <w:rFonts w:cs="Lucida Sans"/>
    </w:rPr>
  </w:style>
  <w:style w:type="paragraph" w:styleId="Epgrafe">
    <w:name w:val="caption"/>
    <w:basedOn w:val="Normal2"/>
    <w:qFormat/>
    <w:pPr>
      <w:suppressLineNumbers/>
      <w:spacing w:before="120" w:after="120"/>
    </w:pPr>
    <w:rPr>
      <w:rFonts w:cs="Lucida Sans"/>
      <w:i/>
      <w:iCs/>
      <w:sz w:val="24"/>
      <w:szCs w:val="24"/>
    </w:rPr>
  </w:style>
  <w:style w:type="paragraph" w:customStyle="1" w:styleId="ndex">
    <w:name w:val="Índex"/>
    <w:basedOn w:val="Normal2"/>
    <w:qFormat/>
    <w:pPr>
      <w:suppressLineNumbers/>
    </w:pPr>
    <w:rPr>
      <w:rFonts w:cs="Lucida Sans"/>
    </w:rPr>
  </w:style>
  <w:style w:type="paragraph" w:customStyle="1" w:styleId="Normal11">
    <w:name w:val="Normal1"/>
    <w:qFormat/>
  </w:style>
  <w:style w:type="paragraph" w:styleId="Textodeglobo">
    <w:name w:val="Balloon Text"/>
    <w:basedOn w:val="Normal2"/>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2"/>
    <w:qFormat/>
  </w:style>
  <w:style w:type="paragraph" w:styleId="Encabezado">
    <w:name w:val="header"/>
    <w:basedOn w:val="Normal2"/>
    <w:link w:val="EncabezadoCar"/>
    <w:uiPriority w:val="99"/>
    <w:unhideWhenUsed/>
    <w:rsid w:val="00AA788A"/>
    <w:pPr>
      <w:tabs>
        <w:tab w:val="center" w:pos="4252"/>
        <w:tab w:val="right" w:pos="8504"/>
      </w:tabs>
      <w:spacing w:after="0" w:line="240" w:lineRule="auto"/>
    </w:pPr>
  </w:style>
  <w:style w:type="paragraph" w:styleId="Piedepgina">
    <w:name w:val="footer"/>
    <w:basedOn w:val="Normal2"/>
    <w:link w:val="PiedepginaCar"/>
    <w:uiPriority w:val="99"/>
    <w:unhideWhenUsed/>
    <w:rsid w:val="00AA788A"/>
    <w:pPr>
      <w:tabs>
        <w:tab w:val="center" w:pos="4252"/>
        <w:tab w:val="right" w:pos="8504"/>
      </w:tabs>
      <w:spacing w:after="0" w:line="240" w:lineRule="auto"/>
    </w:pPr>
  </w:style>
  <w:style w:type="paragraph" w:styleId="NormalWeb">
    <w:name w:val="Normal (Web)"/>
    <w:basedOn w:val="Normal2"/>
    <w:uiPriority w:val="99"/>
    <w:unhideWhenUsed/>
    <w:qFormat/>
    <w:rsid w:val="00232BE1"/>
    <w:rPr>
      <w:rFonts w:ascii="Times New Roman" w:hAnsi="Times New Roman" w:cs="Times New Roman"/>
      <w:sz w:val="24"/>
      <w:szCs w:val="24"/>
    </w:rPr>
  </w:style>
  <w:style w:type="paragraph" w:styleId="Textocomentario">
    <w:name w:val="annotation text"/>
    <w:basedOn w:val="Normal2"/>
    <w:link w:val="TextocomentarioCar"/>
    <w:uiPriority w:val="99"/>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paragraph" w:customStyle="1" w:styleId="Textpreformatat">
    <w:name w:val="Text preformatat"/>
    <w:basedOn w:val="Normal2"/>
    <w:qFormat/>
    <w:pPr>
      <w:spacing w:after="0"/>
    </w:pPr>
    <w:rPr>
      <w:rFonts w:ascii="Liberation Mono" w:eastAsia="Liberation Mono" w:hAnsi="Liberation Mono" w:cs="Liberation Mono"/>
      <w:sz w:val="20"/>
      <w:szCs w:val="20"/>
    </w:rPr>
  </w:style>
  <w:style w:type="table" w:customStyle="1" w:styleId="TableNormal10">
    <w:name w:val="Table Normal1"/>
    <w:tblPr>
      <w:tblCellMar>
        <w:top w:w="0" w:type="dxa"/>
        <w:left w:w="0" w:type="dxa"/>
        <w:bottom w:w="0" w:type="dxa"/>
        <w:right w:w="0" w:type="dxa"/>
      </w:tblCellMar>
    </w:tblPr>
  </w:style>
  <w:style w:type="table" w:styleId="Tablaconcuadrcula">
    <w:name w:val="Table Grid"/>
    <w:basedOn w:val="Tablanormal"/>
    <w:uiPriority w:val="59"/>
    <w:rsid w:val="00AA7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AC5DA2"/>
    <w:rPr>
      <w:i/>
      <w:iCs/>
    </w:rPr>
  </w:style>
  <w:style w:type="character" w:styleId="Hipervnculo">
    <w:name w:val="Hyperlink"/>
    <w:basedOn w:val="Fuentedeprrafopredeter"/>
    <w:uiPriority w:val="99"/>
    <w:unhideWhenUsed/>
    <w:rsid w:val="00AC5DA2"/>
    <w:rPr>
      <w:color w:val="0000FF"/>
      <w:u w:val="single"/>
    </w:rPr>
  </w:style>
  <w:style w:type="character" w:customStyle="1" w:styleId="UnresolvedMention1">
    <w:name w:val="Unresolved Mention1"/>
    <w:basedOn w:val="Fuentedeprrafopredeter"/>
    <w:uiPriority w:val="99"/>
    <w:semiHidden/>
    <w:unhideWhenUsed/>
    <w:rsid w:val="00CA2C33"/>
    <w:rPr>
      <w:color w:val="605E5C"/>
      <w:shd w:val="clear" w:color="auto" w:fill="E1DFDD"/>
    </w:rPr>
  </w:style>
  <w:style w:type="paragraph" w:styleId="Revisin">
    <w:name w:val="Revision"/>
    <w:hidden/>
    <w:uiPriority w:val="99"/>
    <w:semiHidden/>
    <w:rsid w:val="00ED3B78"/>
  </w:style>
  <w:style w:type="character" w:styleId="Hipervnculovisitado">
    <w:name w:val="FollowedHyperlink"/>
    <w:basedOn w:val="Fuentedeprrafopredeter"/>
    <w:uiPriority w:val="99"/>
    <w:semiHidden/>
    <w:unhideWhenUsed/>
    <w:rsid w:val="00F04E00"/>
    <w:rPr>
      <w:color w:val="800080" w:themeColor="followedHyperlink"/>
      <w:u w:val="single"/>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customStyle="1" w:styleId="Default">
    <w:name w:val="Default"/>
    <w:rsid w:val="00CF3A65"/>
    <w:pPr>
      <w:widowControl w:val="0"/>
      <w:autoSpaceDE w:val="0"/>
      <w:autoSpaceDN w:val="0"/>
      <w:adjustRightInd w:val="0"/>
      <w:spacing w:after="0" w:line="240" w:lineRule="auto"/>
    </w:pPr>
    <w:rPr>
      <w:rFonts w:ascii="Source Serif Variable" w:hAnsi="Source Serif Variable" w:cs="Source Serif Variable"/>
      <w:color w:val="000000"/>
      <w:sz w:val="24"/>
      <w:szCs w:val="24"/>
      <w:lang w:val="es-ES"/>
    </w:rPr>
  </w:style>
  <w:style w:type="paragraph" w:customStyle="1" w:styleId="Pa12">
    <w:name w:val="Pa12"/>
    <w:basedOn w:val="Default"/>
    <w:next w:val="Default"/>
    <w:uiPriority w:val="99"/>
    <w:rsid w:val="00CF3A65"/>
    <w:pPr>
      <w:spacing w:line="201" w:lineRule="atLeast"/>
    </w:pPr>
    <w:rPr>
      <w:rFonts w:cs="Times New Roman"/>
      <w:color w:val="auto"/>
    </w:rPr>
  </w:style>
  <w:style w:type="table" w:customStyle="1" w:styleId="a1">
    <w:basedOn w:val="TableNormal1"/>
    <w:tblPr>
      <w:tblStyleRowBandSize w:val="1"/>
      <w:tblStyleColBandSize w:val="1"/>
      <w:tblCellMar>
        <w:top w:w="0" w:type="dxa"/>
        <w:left w:w="108" w:type="dxa"/>
        <w:bottom w:w="0" w:type="dxa"/>
        <w:right w:w="108" w:type="dxa"/>
      </w:tblCellMar>
    </w:tbl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239">
      <w:bodyDiv w:val="1"/>
      <w:marLeft w:val="0"/>
      <w:marRight w:val="0"/>
      <w:marTop w:val="0"/>
      <w:marBottom w:val="0"/>
      <w:divBdr>
        <w:top w:val="none" w:sz="0" w:space="0" w:color="auto"/>
        <w:left w:val="none" w:sz="0" w:space="0" w:color="auto"/>
        <w:bottom w:val="none" w:sz="0" w:space="0" w:color="auto"/>
        <w:right w:val="none" w:sz="0" w:space="0" w:color="auto"/>
      </w:divBdr>
    </w:div>
    <w:div w:id="457528276">
      <w:bodyDiv w:val="1"/>
      <w:marLeft w:val="0"/>
      <w:marRight w:val="0"/>
      <w:marTop w:val="0"/>
      <w:marBottom w:val="0"/>
      <w:divBdr>
        <w:top w:val="none" w:sz="0" w:space="0" w:color="auto"/>
        <w:left w:val="none" w:sz="0" w:space="0" w:color="auto"/>
        <w:bottom w:val="none" w:sz="0" w:space="0" w:color="auto"/>
        <w:right w:val="none" w:sz="0" w:space="0" w:color="auto"/>
      </w:divBdr>
    </w:div>
    <w:div w:id="545144712">
      <w:bodyDiv w:val="1"/>
      <w:marLeft w:val="0"/>
      <w:marRight w:val="0"/>
      <w:marTop w:val="0"/>
      <w:marBottom w:val="0"/>
      <w:divBdr>
        <w:top w:val="none" w:sz="0" w:space="0" w:color="auto"/>
        <w:left w:val="none" w:sz="0" w:space="0" w:color="auto"/>
        <w:bottom w:val="none" w:sz="0" w:space="0" w:color="auto"/>
        <w:right w:val="none" w:sz="0" w:space="0" w:color="auto"/>
      </w:divBdr>
    </w:div>
    <w:div w:id="657270159">
      <w:bodyDiv w:val="1"/>
      <w:marLeft w:val="0"/>
      <w:marRight w:val="0"/>
      <w:marTop w:val="0"/>
      <w:marBottom w:val="0"/>
      <w:divBdr>
        <w:top w:val="none" w:sz="0" w:space="0" w:color="auto"/>
        <w:left w:val="none" w:sz="0" w:space="0" w:color="auto"/>
        <w:bottom w:val="none" w:sz="0" w:space="0" w:color="auto"/>
        <w:right w:val="none" w:sz="0" w:space="0" w:color="auto"/>
      </w:divBdr>
    </w:div>
    <w:div w:id="685790301">
      <w:bodyDiv w:val="1"/>
      <w:marLeft w:val="0"/>
      <w:marRight w:val="0"/>
      <w:marTop w:val="0"/>
      <w:marBottom w:val="0"/>
      <w:divBdr>
        <w:top w:val="none" w:sz="0" w:space="0" w:color="auto"/>
        <w:left w:val="none" w:sz="0" w:space="0" w:color="auto"/>
        <w:bottom w:val="none" w:sz="0" w:space="0" w:color="auto"/>
        <w:right w:val="none" w:sz="0" w:space="0" w:color="auto"/>
      </w:divBdr>
    </w:div>
    <w:div w:id="917592244">
      <w:bodyDiv w:val="1"/>
      <w:marLeft w:val="0"/>
      <w:marRight w:val="0"/>
      <w:marTop w:val="0"/>
      <w:marBottom w:val="0"/>
      <w:divBdr>
        <w:top w:val="none" w:sz="0" w:space="0" w:color="auto"/>
        <w:left w:val="none" w:sz="0" w:space="0" w:color="auto"/>
        <w:bottom w:val="none" w:sz="0" w:space="0" w:color="auto"/>
        <w:right w:val="none" w:sz="0" w:space="0" w:color="auto"/>
      </w:divBdr>
    </w:div>
    <w:div w:id="1136221126">
      <w:bodyDiv w:val="1"/>
      <w:marLeft w:val="0"/>
      <w:marRight w:val="0"/>
      <w:marTop w:val="0"/>
      <w:marBottom w:val="0"/>
      <w:divBdr>
        <w:top w:val="none" w:sz="0" w:space="0" w:color="auto"/>
        <w:left w:val="none" w:sz="0" w:space="0" w:color="auto"/>
        <w:bottom w:val="none" w:sz="0" w:space="0" w:color="auto"/>
        <w:right w:val="none" w:sz="0" w:space="0" w:color="auto"/>
      </w:divBdr>
    </w:div>
    <w:div w:id="1221794032">
      <w:bodyDiv w:val="1"/>
      <w:marLeft w:val="0"/>
      <w:marRight w:val="0"/>
      <w:marTop w:val="0"/>
      <w:marBottom w:val="0"/>
      <w:divBdr>
        <w:top w:val="none" w:sz="0" w:space="0" w:color="auto"/>
        <w:left w:val="none" w:sz="0" w:space="0" w:color="auto"/>
        <w:bottom w:val="none" w:sz="0" w:space="0" w:color="auto"/>
        <w:right w:val="none" w:sz="0" w:space="0" w:color="auto"/>
      </w:divBdr>
    </w:div>
    <w:div w:id="1240022150">
      <w:bodyDiv w:val="1"/>
      <w:marLeft w:val="0"/>
      <w:marRight w:val="0"/>
      <w:marTop w:val="0"/>
      <w:marBottom w:val="0"/>
      <w:divBdr>
        <w:top w:val="none" w:sz="0" w:space="0" w:color="auto"/>
        <w:left w:val="none" w:sz="0" w:space="0" w:color="auto"/>
        <w:bottom w:val="none" w:sz="0" w:space="0" w:color="auto"/>
        <w:right w:val="none" w:sz="0" w:space="0" w:color="auto"/>
      </w:divBdr>
    </w:div>
    <w:div w:id="1338311318">
      <w:bodyDiv w:val="1"/>
      <w:marLeft w:val="0"/>
      <w:marRight w:val="0"/>
      <w:marTop w:val="0"/>
      <w:marBottom w:val="0"/>
      <w:divBdr>
        <w:top w:val="none" w:sz="0" w:space="0" w:color="auto"/>
        <w:left w:val="none" w:sz="0" w:space="0" w:color="auto"/>
        <w:bottom w:val="none" w:sz="0" w:space="0" w:color="auto"/>
        <w:right w:val="none" w:sz="0" w:space="0" w:color="auto"/>
      </w:divBdr>
    </w:div>
    <w:div w:id="1538421758">
      <w:bodyDiv w:val="1"/>
      <w:marLeft w:val="0"/>
      <w:marRight w:val="0"/>
      <w:marTop w:val="0"/>
      <w:marBottom w:val="0"/>
      <w:divBdr>
        <w:top w:val="none" w:sz="0" w:space="0" w:color="auto"/>
        <w:left w:val="none" w:sz="0" w:space="0" w:color="auto"/>
        <w:bottom w:val="none" w:sz="0" w:space="0" w:color="auto"/>
        <w:right w:val="none" w:sz="0" w:space="0" w:color="auto"/>
      </w:divBdr>
    </w:div>
    <w:div w:id="1608154811">
      <w:bodyDiv w:val="1"/>
      <w:marLeft w:val="0"/>
      <w:marRight w:val="0"/>
      <w:marTop w:val="0"/>
      <w:marBottom w:val="0"/>
      <w:divBdr>
        <w:top w:val="none" w:sz="0" w:space="0" w:color="auto"/>
        <w:left w:val="none" w:sz="0" w:space="0" w:color="auto"/>
        <w:bottom w:val="none" w:sz="0" w:space="0" w:color="auto"/>
        <w:right w:val="none" w:sz="0" w:space="0" w:color="auto"/>
      </w:divBdr>
    </w:div>
    <w:div w:id="1802268591">
      <w:bodyDiv w:val="1"/>
      <w:marLeft w:val="0"/>
      <w:marRight w:val="0"/>
      <w:marTop w:val="0"/>
      <w:marBottom w:val="0"/>
      <w:divBdr>
        <w:top w:val="none" w:sz="0" w:space="0" w:color="auto"/>
        <w:left w:val="none" w:sz="0" w:space="0" w:color="auto"/>
        <w:bottom w:val="none" w:sz="0" w:space="0" w:color="auto"/>
        <w:right w:val="none" w:sz="0" w:space="0" w:color="auto"/>
      </w:divBdr>
    </w:div>
    <w:div w:id="1935825544">
      <w:bodyDiv w:val="1"/>
      <w:marLeft w:val="0"/>
      <w:marRight w:val="0"/>
      <w:marTop w:val="0"/>
      <w:marBottom w:val="0"/>
      <w:divBdr>
        <w:top w:val="none" w:sz="0" w:space="0" w:color="auto"/>
        <w:left w:val="none" w:sz="0" w:space="0" w:color="auto"/>
        <w:bottom w:val="none" w:sz="0" w:space="0" w:color="auto"/>
        <w:right w:val="none" w:sz="0" w:space="0" w:color="auto"/>
      </w:divBdr>
    </w:div>
    <w:div w:id="1968925273">
      <w:bodyDiv w:val="1"/>
      <w:marLeft w:val="0"/>
      <w:marRight w:val="0"/>
      <w:marTop w:val="0"/>
      <w:marBottom w:val="0"/>
      <w:divBdr>
        <w:top w:val="none" w:sz="0" w:space="0" w:color="auto"/>
        <w:left w:val="none" w:sz="0" w:space="0" w:color="auto"/>
        <w:bottom w:val="none" w:sz="0" w:space="0" w:color="auto"/>
        <w:right w:val="none" w:sz="0" w:space="0" w:color="auto"/>
      </w:divBdr>
    </w:div>
    <w:div w:id="20465213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oara.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iphe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wtM2ZDflM7me35ntplQ7Zsp/Q==">CgMxLjAyDmguZzF2aHc1a203MnRxOAByITFJYXdZMU5QMFJ6QjdhLTl4Qnk0RGtVWDYxQTh3bEFGcg==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2145</Characters>
  <Application>Microsoft Macintosh Word</Application>
  <DocSecurity>0</DocSecurity>
  <Lines>17</Lines>
  <Paragraphs>5</Paragraphs>
  <ScaleCrop>false</ScaleCrop>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3</cp:revision>
  <dcterms:created xsi:type="dcterms:W3CDTF">2026-01-16T18:55:00Z</dcterms:created>
  <dcterms:modified xsi:type="dcterms:W3CDTF">2026-01-16T18:56:00Z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