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112DA"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2CED08BE" w14:textId="77777777" w:rsidR="00B60124" w:rsidRDefault="002C4961">
      <w:pPr>
        <w:pBdr>
          <w:top w:val="nil"/>
          <w:left w:val="nil"/>
          <w:bottom w:val="nil"/>
          <w:right w:val="nil"/>
          <w:between w:val="nil"/>
        </w:pBdr>
        <w:jc w:val="both"/>
        <w:rPr>
          <w:rFonts w:ascii="Arial" w:eastAsia="Arial" w:hAnsi="Arial" w:cs="Arial"/>
          <w:b/>
          <w:color w:val="C48489"/>
          <w:sz w:val="40"/>
          <w:szCs w:val="40"/>
        </w:rPr>
      </w:pPr>
      <w:bookmarkStart w:id="0" w:name="_heading=h.2et92p0" w:colFirst="0" w:colLast="0"/>
      <w:bookmarkEnd w:id="0"/>
      <w:r>
        <w:rPr>
          <w:rFonts w:ascii="Arial" w:eastAsia="Arial" w:hAnsi="Arial" w:cs="Arial"/>
          <w:b/>
          <w:color w:val="C48489"/>
          <w:sz w:val="40"/>
          <w:szCs w:val="40"/>
        </w:rPr>
        <w:t>Descubren restos neandertales en la cueva de la Arbreda (Serinyà, Girona)</w:t>
      </w:r>
    </w:p>
    <w:p w14:paraId="1C7528CF"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55AB4120" w14:textId="00E54FA5" w:rsidR="00B60124" w:rsidRDefault="002C4961">
      <w:pPr>
        <w:pBdr>
          <w:top w:val="nil"/>
          <w:left w:val="nil"/>
          <w:bottom w:val="nil"/>
          <w:right w:val="nil"/>
          <w:between w:val="nil"/>
        </w:pBdr>
        <w:jc w:val="both"/>
        <w:rPr>
          <w:rFonts w:ascii="Arial" w:eastAsia="Arial" w:hAnsi="Arial" w:cs="Arial"/>
          <w:b/>
          <w:i/>
          <w:color w:val="000000"/>
          <w:sz w:val="24"/>
          <w:szCs w:val="24"/>
        </w:rPr>
      </w:pPr>
      <w:r>
        <w:rPr>
          <w:rFonts w:ascii="Arial" w:eastAsia="Arial" w:hAnsi="Arial" w:cs="Arial"/>
          <w:b/>
          <w:color w:val="000000"/>
          <w:sz w:val="24"/>
          <w:szCs w:val="24"/>
        </w:rPr>
        <w:t xml:space="preserve">La investigación, publicada en la revista </w:t>
      </w:r>
      <w:r>
        <w:rPr>
          <w:rFonts w:ascii="Arial" w:eastAsia="Arial" w:hAnsi="Arial" w:cs="Arial"/>
          <w:b/>
          <w:i/>
          <w:color w:val="000000"/>
          <w:sz w:val="24"/>
          <w:szCs w:val="24"/>
        </w:rPr>
        <w:t>American</w:t>
      </w:r>
      <w:r>
        <w:rPr>
          <w:rFonts w:ascii="Arial" w:eastAsia="Arial" w:hAnsi="Arial" w:cs="Arial"/>
          <w:b/>
          <w:color w:val="000000"/>
          <w:sz w:val="24"/>
          <w:szCs w:val="24"/>
        </w:rPr>
        <w:t xml:space="preserve"> </w:t>
      </w:r>
      <w:r>
        <w:rPr>
          <w:rFonts w:ascii="Arial" w:eastAsia="Arial" w:hAnsi="Arial" w:cs="Arial"/>
          <w:b/>
          <w:i/>
          <w:color w:val="000000"/>
          <w:sz w:val="24"/>
          <w:szCs w:val="24"/>
        </w:rPr>
        <w:t>Journal of Biological Anthropology</w:t>
      </w:r>
      <w:r>
        <w:rPr>
          <w:rFonts w:ascii="Arial" w:eastAsia="Arial" w:hAnsi="Arial" w:cs="Arial"/>
          <w:b/>
          <w:color w:val="000000"/>
          <w:sz w:val="24"/>
          <w:szCs w:val="24"/>
        </w:rPr>
        <w:t>, describe los restos dentales de tres individuos neandertales</w:t>
      </w:r>
    </w:p>
    <w:p w14:paraId="25EE3DBF" w14:textId="77777777" w:rsidR="00B60124" w:rsidRDefault="00B60124">
      <w:pPr>
        <w:pBdr>
          <w:top w:val="nil"/>
          <w:left w:val="nil"/>
          <w:bottom w:val="nil"/>
          <w:right w:val="nil"/>
          <w:between w:val="nil"/>
        </w:pBdr>
        <w:jc w:val="both"/>
        <w:rPr>
          <w:rFonts w:ascii="Arial" w:eastAsia="Arial" w:hAnsi="Arial" w:cs="Arial"/>
          <w:b/>
          <w:color w:val="C48489"/>
          <w:sz w:val="40"/>
          <w:szCs w:val="40"/>
        </w:rPr>
      </w:pPr>
    </w:p>
    <w:p w14:paraId="3FC3890D" w14:textId="688A3375" w:rsidR="00B60124" w:rsidRDefault="00A87517">
      <w:pPr>
        <w:pBdr>
          <w:top w:val="nil"/>
          <w:left w:val="nil"/>
          <w:bottom w:val="nil"/>
          <w:right w:val="nil"/>
          <w:between w:val="nil"/>
        </w:pBdr>
        <w:jc w:val="both"/>
        <w:rPr>
          <w:rFonts w:ascii="Arial" w:eastAsia="Arial" w:hAnsi="Arial" w:cs="Arial"/>
          <w:sz w:val="24"/>
          <w:szCs w:val="24"/>
        </w:rPr>
      </w:pPr>
      <w:bookmarkStart w:id="1" w:name="_heading=h.30j0zll" w:colFirst="0" w:colLast="0"/>
      <w:bookmarkEnd w:id="1"/>
      <w:r>
        <w:rPr>
          <w:rFonts w:ascii="Arial" w:eastAsia="Arial" w:hAnsi="Arial" w:cs="Arial"/>
          <w:color w:val="B66E76"/>
          <w:sz w:val="24"/>
          <w:szCs w:val="24"/>
        </w:rPr>
        <w:t>Tarragona, 14</w:t>
      </w:r>
      <w:bookmarkStart w:id="2" w:name="_GoBack"/>
      <w:bookmarkEnd w:id="2"/>
      <w:r w:rsidR="002C4961">
        <w:rPr>
          <w:rFonts w:ascii="Arial" w:eastAsia="Arial" w:hAnsi="Arial" w:cs="Arial"/>
          <w:color w:val="B66E76"/>
          <w:sz w:val="24"/>
          <w:szCs w:val="24"/>
        </w:rPr>
        <w:t xml:space="preserve"> de </w:t>
      </w:r>
      <w:r w:rsidR="0083218C">
        <w:rPr>
          <w:rFonts w:ascii="Arial" w:eastAsia="Arial" w:hAnsi="Arial" w:cs="Arial"/>
          <w:color w:val="B66E76"/>
          <w:sz w:val="24"/>
          <w:szCs w:val="24"/>
        </w:rPr>
        <w:t>noviembre</w:t>
      </w:r>
      <w:r w:rsidR="002C4961">
        <w:rPr>
          <w:rFonts w:ascii="Arial" w:eastAsia="Arial" w:hAnsi="Arial" w:cs="Arial"/>
          <w:color w:val="B66E76"/>
          <w:sz w:val="24"/>
          <w:szCs w:val="24"/>
        </w:rPr>
        <w:t xml:space="preserve"> de 2024. </w:t>
      </w:r>
      <w:r w:rsidR="002C4961">
        <w:rPr>
          <w:rFonts w:ascii="Arial" w:eastAsia="Arial" w:hAnsi="Arial" w:cs="Arial"/>
          <w:sz w:val="24"/>
          <w:szCs w:val="24"/>
        </w:rPr>
        <w:t xml:space="preserve">Un equipo multidisciplinar ha identificado nuevos restos neandertales en el yacimiento de la cueva de l'Arbreda (Serinyà, Girona). Concretamente, se han hallado tres dientes humanos correspondientes a un niño, un individuo juvenil y un individuo adulto. Dos de los dientes, procedentes del nivel N de la cueva, tienen una antigüedad mínima de 120.000 años, mientras que el tercer diente, recuperado del nivel J, tiene entre 71.000 y 44.000 años. Los resultados preliminares indican que estos dientes podrían ser atribuidos a </w:t>
      </w:r>
      <w:r w:rsidR="002C4961">
        <w:rPr>
          <w:rFonts w:ascii="Arial" w:eastAsia="Arial" w:hAnsi="Arial" w:cs="Arial"/>
          <w:i/>
          <w:sz w:val="24"/>
          <w:szCs w:val="24"/>
        </w:rPr>
        <w:t xml:space="preserve">Homo neanderthalensis </w:t>
      </w:r>
      <w:r w:rsidR="002C4961">
        <w:rPr>
          <w:rFonts w:ascii="Arial" w:eastAsia="Arial" w:hAnsi="Arial" w:cs="Arial"/>
          <w:sz w:val="24"/>
          <w:szCs w:val="24"/>
        </w:rPr>
        <w:t>.</w:t>
      </w:r>
    </w:p>
    <w:p w14:paraId="4B6D8832" w14:textId="09F8661C"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 xml:space="preserve">Ésta es la principal conclusión del trabajo publicado en la prestigiosa </w:t>
      </w:r>
      <w:r w:rsidRPr="0083218C">
        <w:rPr>
          <w:rFonts w:ascii="Arial" w:eastAsia="Arial" w:hAnsi="Arial" w:cs="Arial"/>
          <w:sz w:val="24"/>
          <w:szCs w:val="24"/>
        </w:rPr>
        <w:t>revista</w:t>
      </w:r>
      <w:r>
        <w:rPr>
          <w:rFonts w:ascii="Arial" w:eastAsia="Arial" w:hAnsi="Arial" w:cs="Arial"/>
          <w:i/>
          <w:sz w:val="24"/>
          <w:szCs w:val="24"/>
        </w:rPr>
        <w:t xml:space="preserve"> </w:t>
      </w:r>
      <w:hyperlink r:id="rId8" w:history="1">
        <w:r w:rsidRPr="0083218C">
          <w:rPr>
            <w:rStyle w:val="Hipervnculo"/>
            <w:rFonts w:ascii="Arial" w:eastAsia="Arial" w:hAnsi="Arial" w:cs="Arial"/>
            <w:i/>
            <w:sz w:val="24"/>
            <w:szCs w:val="24"/>
          </w:rPr>
          <w:t>American Journal of Biological Anthropology</w:t>
        </w:r>
      </w:hyperlink>
      <w:r>
        <w:rPr>
          <w:rFonts w:ascii="Arial" w:eastAsia="Arial" w:hAnsi="Arial" w:cs="Arial"/>
          <w:sz w:val="24"/>
          <w:szCs w:val="24"/>
        </w:rPr>
        <w:t>, en un trabajo liderado por la Dra. Marina Lozano, investigadora del IPHES-</w:t>
      </w:r>
      <w:r w:rsidR="0083218C">
        <w:rPr>
          <w:rFonts w:ascii="Arial" w:eastAsia="Arial" w:hAnsi="Arial" w:cs="Arial"/>
          <w:sz w:val="24"/>
          <w:szCs w:val="24"/>
        </w:rPr>
        <w:t>CERCA</w:t>
      </w:r>
      <w:r>
        <w:rPr>
          <w:rFonts w:ascii="Arial" w:eastAsia="Arial" w:hAnsi="Arial" w:cs="Arial"/>
          <w:sz w:val="24"/>
          <w:szCs w:val="24"/>
        </w:rPr>
        <w:t xml:space="preserve"> y prof</w:t>
      </w:r>
      <w:r w:rsidR="0083218C">
        <w:rPr>
          <w:rFonts w:ascii="Arial" w:eastAsia="Arial" w:hAnsi="Arial" w:cs="Arial"/>
          <w:sz w:val="24"/>
          <w:szCs w:val="24"/>
        </w:rPr>
        <w:t>esora asociada de la Universitat</w:t>
      </w:r>
      <w:r>
        <w:rPr>
          <w:rFonts w:ascii="Arial" w:eastAsia="Arial" w:hAnsi="Arial" w:cs="Arial"/>
          <w:sz w:val="24"/>
          <w:szCs w:val="24"/>
        </w:rPr>
        <w:t xml:space="preserve"> Rovira i Virgili, en el que han participado también pers</w:t>
      </w:r>
      <w:r w:rsidR="0083218C">
        <w:rPr>
          <w:rFonts w:ascii="Arial" w:eastAsia="Arial" w:hAnsi="Arial" w:cs="Arial"/>
          <w:sz w:val="24"/>
          <w:szCs w:val="24"/>
        </w:rPr>
        <w:t xml:space="preserve">onal investigador y técnico del Institut Català de Recerca en Patrimoni Cultural </w:t>
      </w:r>
      <w:r>
        <w:rPr>
          <w:rFonts w:ascii="Arial" w:eastAsia="Arial" w:hAnsi="Arial" w:cs="Arial"/>
          <w:sz w:val="24"/>
          <w:szCs w:val="24"/>
        </w:rPr>
        <w:t>(ICRPC-</w:t>
      </w:r>
      <w:r w:rsidR="0083218C">
        <w:rPr>
          <w:rFonts w:ascii="Arial" w:eastAsia="Arial" w:hAnsi="Arial" w:cs="Arial"/>
          <w:sz w:val="24"/>
          <w:szCs w:val="24"/>
        </w:rPr>
        <w:t>CERCA</w:t>
      </w:r>
      <w:r>
        <w:rPr>
          <w:rFonts w:ascii="Arial" w:eastAsia="Arial" w:hAnsi="Arial" w:cs="Arial"/>
          <w:sz w:val="24"/>
          <w:szCs w:val="24"/>
        </w:rPr>
        <w:t xml:space="preserve">), del </w:t>
      </w:r>
      <w:r w:rsidR="0083218C">
        <w:rPr>
          <w:rFonts w:ascii="Arial" w:eastAsia="Arial" w:hAnsi="Arial" w:cs="Arial"/>
          <w:sz w:val="24"/>
          <w:szCs w:val="24"/>
        </w:rPr>
        <w:t>Institut de Recerca Història de la Universitat de Girona</w:t>
      </w:r>
      <w:r>
        <w:rPr>
          <w:rFonts w:ascii="Arial" w:eastAsia="Arial" w:hAnsi="Arial" w:cs="Arial"/>
          <w:sz w:val="24"/>
          <w:szCs w:val="24"/>
        </w:rPr>
        <w:t xml:space="preserve">, de la Universidad de Burdeos y de la </w:t>
      </w:r>
      <w:r w:rsidR="0083218C">
        <w:rPr>
          <w:rFonts w:ascii="Arial" w:eastAsia="Arial" w:hAnsi="Arial" w:cs="Arial"/>
          <w:sz w:val="24"/>
          <w:szCs w:val="24"/>
        </w:rPr>
        <w:t>Universitat Internacional de Catalunya</w:t>
      </w:r>
      <w:r>
        <w:rPr>
          <w:rFonts w:ascii="Arial" w:eastAsia="Arial" w:hAnsi="Arial" w:cs="Arial"/>
          <w:sz w:val="24"/>
          <w:szCs w:val="24"/>
        </w:rPr>
        <w:t>.</w:t>
      </w:r>
    </w:p>
    <w:p w14:paraId="440EC326" w14:textId="7197216C"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El análisis del conjunto de restos ha permitido identificar una molar decidual (diente de leche) inferior derecha, una molar permanente inferio</w:t>
      </w:r>
      <w:r w:rsidR="0083218C">
        <w:rPr>
          <w:rFonts w:ascii="Arial" w:eastAsia="Arial" w:hAnsi="Arial" w:cs="Arial"/>
          <w:sz w:val="24"/>
          <w:szCs w:val="24"/>
        </w:rPr>
        <w:t>r derecho y un tercer</w:t>
      </w:r>
      <w:r>
        <w:rPr>
          <w:rFonts w:ascii="Arial" w:eastAsia="Arial" w:hAnsi="Arial" w:cs="Arial"/>
          <w:sz w:val="24"/>
          <w:szCs w:val="24"/>
        </w:rPr>
        <w:t xml:space="preserve"> premolar superior derecho. Las características morfológicas y morfométricas de este co</w:t>
      </w:r>
      <w:r w:rsidR="0083218C">
        <w:rPr>
          <w:rFonts w:ascii="Arial" w:eastAsia="Arial" w:hAnsi="Arial" w:cs="Arial"/>
          <w:sz w:val="24"/>
          <w:szCs w:val="24"/>
        </w:rPr>
        <w:t>njunto, ha permitido adscribirlo</w:t>
      </w:r>
      <w:r>
        <w:rPr>
          <w:rFonts w:ascii="Arial" w:eastAsia="Arial" w:hAnsi="Arial" w:cs="Arial"/>
          <w:sz w:val="24"/>
          <w:szCs w:val="24"/>
        </w:rPr>
        <w:t xml:space="preserve">s a la especie </w:t>
      </w:r>
      <w:r>
        <w:rPr>
          <w:rFonts w:ascii="Arial" w:eastAsia="Arial" w:hAnsi="Arial" w:cs="Arial"/>
          <w:i/>
          <w:sz w:val="24"/>
          <w:szCs w:val="24"/>
        </w:rPr>
        <w:t>Homo neanderthalensis</w:t>
      </w:r>
      <w:r>
        <w:rPr>
          <w:rFonts w:ascii="Arial" w:eastAsia="Arial" w:hAnsi="Arial" w:cs="Arial"/>
          <w:sz w:val="24"/>
          <w:szCs w:val="24"/>
        </w:rPr>
        <w:t>.</w:t>
      </w:r>
    </w:p>
    <w:p w14:paraId="0561729B" w14:textId="4DEA1090"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lastRenderedPageBreak/>
        <w:t>Estos datos se han obtenido utilizando un escáner de microtomografía (µCT) de alta resolución para generar imágenes tridimensionales de los tres dientes hallados en los niveles J y N de la cueva. Esto permitió reconstruir y analizar la anatomía interna de los dientes, incluyendo la unión esmalte-dentina (EDJ), el grosor del esmalte y el volumen de la cavidad pulpar.</w:t>
      </w:r>
    </w:p>
    <w:p w14:paraId="06766A12" w14:textId="77777777"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Las imágenes obtenidas fueron segmentadas utilizando un software especializado para una precisa diferenciación de los distintos tejidos dentales. También se aplicó microscopía electrónica de rastreo para evaluar posibles alteraciones postdeposicionales en la superficie de los dientes, asegurando que la conservación de los tejidos permitiera un análisis robusto. Además, se utilizaron medidas morfológicas estándar para comparar los dientes recuperados en la cueva de la Arbreda con los de otros yacimientos, así como modelos tridimensionales para cuantificar la distribución del grosor del esmalte y determinar la forma y proporciones de la cavidad pulpar.</w:t>
      </w:r>
    </w:p>
    <w:p w14:paraId="07CFEC24" w14:textId="7174AE3B"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sz w:val="24"/>
          <w:szCs w:val="24"/>
        </w:rPr>
        <w:t>Según Lozano, “el descubrimiento es significativo porque nos permite obtener más información sobre la presencia de neandertales en la Arbreda en diferentes momentos (hace unos 120.000 años y hace entre 71.000 y 44.000 años). El resto más moderno es espe</w:t>
      </w:r>
      <w:r w:rsidR="0083218C">
        <w:rPr>
          <w:rFonts w:ascii="Arial" w:eastAsia="Arial" w:hAnsi="Arial" w:cs="Arial"/>
          <w:sz w:val="24"/>
          <w:szCs w:val="24"/>
        </w:rPr>
        <w:t xml:space="preserve">cialmente interesante ya que proporciona información sobre </w:t>
      </w:r>
      <w:r>
        <w:rPr>
          <w:rFonts w:ascii="Arial" w:eastAsia="Arial" w:hAnsi="Arial" w:cs="Arial"/>
          <w:sz w:val="24"/>
          <w:szCs w:val="24"/>
        </w:rPr>
        <w:t>el estudio de las estrategias de subsistencia de los últimos neandertales de la Península Ibérica, en un momento en el que se vislumbra la coexistencia con los humanos anatómicamente modernos”. La investigación ha revelado que los</w:t>
      </w:r>
      <w:r w:rsidR="0083218C">
        <w:rPr>
          <w:rFonts w:ascii="Arial" w:eastAsia="Arial" w:hAnsi="Arial" w:cs="Arial"/>
          <w:sz w:val="24"/>
          <w:szCs w:val="24"/>
        </w:rPr>
        <w:t xml:space="preserve"> neandertales que habitaron la c</w:t>
      </w:r>
      <w:r>
        <w:rPr>
          <w:rFonts w:ascii="Arial" w:eastAsia="Arial" w:hAnsi="Arial" w:cs="Arial"/>
          <w:sz w:val="24"/>
          <w:szCs w:val="24"/>
        </w:rPr>
        <w:t>ueva de la Arbreda podrían haber alternado entre ocupaciones estacionales cortas y asentamientos más prolongados, lo que sugiere una adaptación a los cambios climáticos y ambientales.</w:t>
      </w:r>
    </w:p>
    <w:p w14:paraId="4EA2CC03" w14:textId="77777777" w:rsidR="00B60124" w:rsidRDefault="00B60124">
      <w:pPr>
        <w:pBdr>
          <w:top w:val="nil"/>
          <w:left w:val="nil"/>
          <w:bottom w:val="nil"/>
          <w:right w:val="nil"/>
          <w:between w:val="nil"/>
        </w:pBdr>
        <w:jc w:val="both"/>
        <w:rPr>
          <w:rFonts w:ascii="Arial" w:eastAsia="Arial" w:hAnsi="Arial" w:cs="Arial"/>
          <w:sz w:val="24"/>
          <w:szCs w:val="24"/>
        </w:rPr>
      </w:pPr>
    </w:p>
    <w:p w14:paraId="56796C00" w14:textId="77777777"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Las cuevas del Reclau, un referente para la prehistoria catalana</w:t>
      </w:r>
    </w:p>
    <w:p w14:paraId="0B311ED5" w14:textId="7D802100" w:rsidR="00B60124" w:rsidRDefault="002C4961">
      <w:pPr>
        <w:spacing w:after="240"/>
        <w:jc w:val="both"/>
        <w:rPr>
          <w:rFonts w:ascii="Arial" w:eastAsia="Arial" w:hAnsi="Arial" w:cs="Arial"/>
          <w:sz w:val="24"/>
          <w:szCs w:val="24"/>
        </w:rPr>
      </w:pPr>
      <w:r>
        <w:rPr>
          <w:rFonts w:ascii="Arial" w:eastAsia="Arial" w:hAnsi="Arial" w:cs="Arial"/>
          <w:sz w:val="24"/>
          <w:szCs w:val="24"/>
        </w:rPr>
        <w:t xml:space="preserve">La cueva de la Arbreda es uno de los yacimientos incluidos en el conjunto arqueológico de las cuevas del paraje del Reclau, del que forman parte otros yacimientos como la cueva de Pau, la cueva del Reclau Viver, la cueva de Mollet, la cueva de Mollet III y el Cau del Roure. Los yacimientos de Serinyà han sido fundamentales en el desarrollo de la arqueología prehistórica en </w:t>
      </w:r>
      <w:r w:rsidR="0083218C">
        <w:rPr>
          <w:rFonts w:ascii="Arial" w:eastAsia="Arial" w:hAnsi="Arial" w:cs="Arial"/>
          <w:sz w:val="24"/>
          <w:szCs w:val="24"/>
        </w:rPr>
        <w:t>Catalunya</w:t>
      </w:r>
      <w:r>
        <w:rPr>
          <w:rFonts w:ascii="Arial" w:eastAsia="Arial" w:hAnsi="Arial" w:cs="Arial"/>
          <w:sz w:val="24"/>
          <w:szCs w:val="24"/>
        </w:rPr>
        <w:t xml:space="preserve"> y cuentan con una larga historia de intervenciones desde la década de los 80 del siglo XIX. En 2008 los yacimientos del paraje del Reclau fueron declarados </w:t>
      </w:r>
      <w:r w:rsidR="0083218C">
        <w:rPr>
          <w:rFonts w:ascii="Arial" w:eastAsia="Arial" w:hAnsi="Arial" w:cs="Arial"/>
          <w:sz w:val="24"/>
          <w:szCs w:val="24"/>
        </w:rPr>
        <w:t>Bé Cultural d’Interès Nacional</w:t>
      </w:r>
      <w:r>
        <w:rPr>
          <w:rFonts w:ascii="Arial" w:eastAsia="Arial" w:hAnsi="Arial" w:cs="Arial"/>
          <w:sz w:val="24"/>
          <w:szCs w:val="24"/>
        </w:rPr>
        <w:t xml:space="preserve"> y desde 1997 el </w:t>
      </w:r>
      <w:r w:rsidR="0083218C">
        <w:rPr>
          <w:rFonts w:ascii="Arial" w:eastAsia="Arial" w:hAnsi="Arial" w:cs="Arial"/>
          <w:sz w:val="24"/>
          <w:szCs w:val="24"/>
        </w:rPr>
        <w:t xml:space="preserve">Parc de les Coves Prehistòriques de Serinyà </w:t>
      </w:r>
      <w:r>
        <w:rPr>
          <w:rFonts w:ascii="Arial" w:eastAsia="Arial" w:hAnsi="Arial" w:cs="Arial"/>
          <w:sz w:val="24"/>
          <w:szCs w:val="24"/>
        </w:rPr>
        <w:t>los ha hecho accesibles a toda la sociedad.</w:t>
      </w:r>
    </w:p>
    <w:p w14:paraId="0BE91091" w14:textId="377EFBDB" w:rsidR="00B60124" w:rsidRDefault="002C4961" w:rsidP="0083218C">
      <w:pPr>
        <w:spacing w:before="240" w:after="240"/>
        <w:jc w:val="both"/>
        <w:rPr>
          <w:rFonts w:ascii="Arial" w:eastAsia="Arial" w:hAnsi="Arial" w:cs="Arial"/>
          <w:sz w:val="24"/>
          <w:szCs w:val="24"/>
        </w:rPr>
      </w:pPr>
      <w:r>
        <w:rPr>
          <w:rFonts w:ascii="Arial" w:eastAsia="Arial" w:hAnsi="Arial" w:cs="Arial"/>
          <w:sz w:val="24"/>
          <w:szCs w:val="24"/>
        </w:rPr>
        <w:t xml:space="preserve">El yacimiento de la cueva de la Arbreda es considerado clave para estudiar la transición entre el paleolítico medio y superior en Europa occidental. Excavada por primera vez en 1972, la cueva contiene una secuencia arqueológica que abarca desde el paleolítico medio hasta el neolítico, e incluye herramientas líticas asociadas a la cultura mosteriana, utilizada por los neandertales. Además, en los niveles inferiores se han encontrado pruebas de empleos prolongados que muestran una presencia recurrente de grupos neandertales durante períodos largos de tiempo, </w:t>
      </w:r>
      <w:r>
        <w:rPr>
          <w:rFonts w:ascii="Arial" w:eastAsia="Arial" w:hAnsi="Arial" w:cs="Arial"/>
          <w:sz w:val="24"/>
          <w:szCs w:val="24"/>
        </w:rPr>
        <w:lastRenderedPageBreak/>
        <w:t>mientras que en los niveles superiores, empleos más cortos y estacionales. Este contraste refleja los cambios en las estrategias de subsistencia de estos grupos a medida que se acercaban a su extinción.</w:t>
      </w:r>
    </w:p>
    <w:p w14:paraId="6CF8785F" w14:textId="473CA64B" w:rsidR="00B60124" w:rsidRDefault="002C4961" w:rsidP="0083218C">
      <w:pPr>
        <w:spacing w:after="240"/>
        <w:jc w:val="both"/>
        <w:rPr>
          <w:rFonts w:ascii="Arial" w:eastAsia="Arial" w:hAnsi="Arial" w:cs="Arial"/>
          <w:sz w:val="24"/>
          <w:szCs w:val="24"/>
        </w:rPr>
      </w:pPr>
      <w:r>
        <w:rPr>
          <w:rFonts w:ascii="Arial" w:eastAsia="Arial" w:hAnsi="Arial" w:cs="Arial"/>
          <w:sz w:val="24"/>
          <w:szCs w:val="24"/>
        </w:rPr>
        <w:t xml:space="preserve">Joaquim Soler, investigador del </w:t>
      </w:r>
      <w:r w:rsidR="0083218C">
        <w:rPr>
          <w:rFonts w:ascii="Arial" w:eastAsia="Arial" w:hAnsi="Arial" w:cs="Arial"/>
          <w:sz w:val="24"/>
          <w:szCs w:val="24"/>
        </w:rPr>
        <w:t>Institut Català de Recerca en Patrimoni Cultural</w:t>
      </w:r>
      <w:r>
        <w:rPr>
          <w:rFonts w:ascii="Arial" w:eastAsia="Arial" w:hAnsi="Arial" w:cs="Arial"/>
          <w:sz w:val="24"/>
          <w:szCs w:val="24"/>
        </w:rPr>
        <w:t xml:space="preserve"> y uno de los codirectores de la excavación, destaca la importancia del yacimiento: “La cueva de la Arbreda es un lugar fundamental para entender la presencia neandertal en </w:t>
      </w:r>
      <w:r w:rsidR="0083218C">
        <w:rPr>
          <w:rFonts w:ascii="Arial" w:eastAsia="Arial" w:hAnsi="Arial" w:cs="Arial"/>
          <w:sz w:val="24"/>
          <w:szCs w:val="24"/>
        </w:rPr>
        <w:t>Catalunya</w:t>
      </w:r>
      <w:r>
        <w:rPr>
          <w:rFonts w:ascii="Arial" w:eastAsia="Arial" w:hAnsi="Arial" w:cs="Arial"/>
          <w:sz w:val="24"/>
          <w:szCs w:val="24"/>
        </w:rPr>
        <w:t xml:space="preserve"> y la su posterior sustitución por parte de los humanos modernos. Estos nuevos hallazgos confirman la importancia de las ocupaciones neandertales en esta zona, que fueron mucho más prolongadas de lo que inicialmente pensábamos.”</w:t>
      </w:r>
    </w:p>
    <w:p w14:paraId="132ED7B7" w14:textId="77777777" w:rsidR="00B60124" w:rsidRDefault="002C4961">
      <w:pPr>
        <w:pBdr>
          <w:top w:val="nil"/>
          <w:left w:val="nil"/>
          <w:bottom w:val="nil"/>
          <w:right w:val="nil"/>
          <w:between w:val="nil"/>
        </w:pBdr>
        <w:jc w:val="both"/>
        <w:rPr>
          <w:rFonts w:ascii="Arial" w:eastAsia="Arial" w:hAnsi="Arial" w:cs="Arial"/>
          <w:b/>
          <w:sz w:val="24"/>
          <w:szCs w:val="24"/>
        </w:rPr>
      </w:pPr>
      <w:r>
        <w:rPr>
          <w:rFonts w:ascii="Arial" w:eastAsia="Arial" w:hAnsi="Arial" w:cs="Arial"/>
          <w:b/>
          <w:sz w:val="24"/>
          <w:szCs w:val="24"/>
        </w:rPr>
        <w:t>Artículo</w:t>
      </w:r>
    </w:p>
    <w:p w14:paraId="07163D0F" w14:textId="77777777" w:rsidR="002C4961" w:rsidRPr="002C4961" w:rsidRDefault="002C4961" w:rsidP="002C4961">
      <w:pPr>
        <w:pBdr>
          <w:top w:val="nil"/>
          <w:left w:val="nil"/>
          <w:bottom w:val="nil"/>
          <w:right w:val="nil"/>
          <w:between w:val="nil"/>
        </w:pBdr>
        <w:jc w:val="both"/>
        <w:rPr>
          <w:rFonts w:ascii="Arial" w:eastAsia="Arial" w:hAnsi="Arial" w:cs="Arial"/>
          <w:sz w:val="24"/>
          <w:szCs w:val="24"/>
          <w:lang w:val="es-ES_tradnl"/>
        </w:rPr>
      </w:pPr>
      <w:r>
        <w:rPr>
          <w:rFonts w:ascii="Arial" w:eastAsia="Arial" w:hAnsi="Arial" w:cs="Arial"/>
          <w:sz w:val="24"/>
          <w:szCs w:val="24"/>
        </w:rPr>
        <w:t xml:space="preserve">Lozano, M., Soler, J., López-Onaindia, D., Solés, A., Julián, R., Ceperuelo, D., Lorenzo, C. y Soler, N. (2024). Middle Pleistocene teeth from Arbreda Cave (Seriña, northeastern Iberian Peninsula). American </w:t>
      </w:r>
      <w:r>
        <w:rPr>
          <w:rFonts w:ascii="Arial" w:eastAsia="Arial" w:hAnsi="Arial" w:cs="Arial"/>
          <w:i/>
          <w:sz w:val="24"/>
          <w:szCs w:val="24"/>
        </w:rPr>
        <w:t xml:space="preserve">Yo urnal of Biological Anthropology </w:t>
      </w:r>
      <w:r>
        <w:rPr>
          <w:rFonts w:ascii="Arial" w:eastAsia="Arial" w:hAnsi="Arial" w:cs="Arial"/>
          <w:sz w:val="24"/>
          <w:szCs w:val="24"/>
        </w:rPr>
        <w:t xml:space="preserve">. DOI: </w:t>
      </w:r>
      <w:hyperlink r:id="rId9" w:history="1">
        <w:r w:rsidRPr="002C4961">
          <w:rPr>
            <w:rStyle w:val="Hipervnculo"/>
            <w:rFonts w:ascii="Arial" w:eastAsia="Arial" w:hAnsi="Arial" w:cs="Arial"/>
            <w:b/>
            <w:bCs/>
            <w:sz w:val="24"/>
            <w:szCs w:val="24"/>
            <w:lang w:val="es-ES_tradnl"/>
          </w:rPr>
          <w:t>https://doi.org/10.1002/ajpa.25037</w:t>
        </w:r>
      </w:hyperlink>
    </w:p>
    <w:p w14:paraId="254E4D2D" w14:textId="77777777" w:rsidR="00B60124" w:rsidRDefault="00B60124">
      <w:pPr>
        <w:pBdr>
          <w:top w:val="nil"/>
          <w:left w:val="nil"/>
          <w:bottom w:val="nil"/>
          <w:right w:val="nil"/>
          <w:between w:val="nil"/>
        </w:pBdr>
        <w:jc w:val="both"/>
        <w:rPr>
          <w:rFonts w:ascii="Arial" w:eastAsia="Arial" w:hAnsi="Arial" w:cs="Arial"/>
          <w:sz w:val="24"/>
          <w:szCs w:val="24"/>
        </w:rPr>
      </w:pPr>
    </w:p>
    <w:p w14:paraId="47F39023" w14:textId="77777777" w:rsidR="00B60124" w:rsidRDefault="002C4961">
      <w:pPr>
        <w:pBdr>
          <w:top w:val="nil"/>
          <w:left w:val="nil"/>
          <w:bottom w:val="nil"/>
          <w:right w:val="nil"/>
          <w:between w:val="nil"/>
        </w:pBdr>
        <w:jc w:val="both"/>
        <w:rPr>
          <w:rFonts w:ascii="Arial" w:eastAsia="Arial" w:hAnsi="Arial" w:cs="Arial"/>
          <w:sz w:val="24"/>
          <w:szCs w:val="24"/>
        </w:rPr>
      </w:pPr>
      <w:r>
        <w:rPr>
          <w:rFonts w:ascii="Arial" w:eastAsia="Arial" w:hAnsi="Arial" w:cs="Arial"/>
          <w:b/>
          <w:sz w:val="24"/>
          <w:szCs w:val="24"/>
        </w:rPr>
        <w:t>Financiación</w:t>
      </w:r>
    </w:p>
    <w:p w14:paraId="6BAA06A5" w14:textId="7CD30A3C" w:rsidR="0083218C" w:rsidRDefault="002C4961" w:rsidP="0083218C">
      <w:pPr>
        <w:pBdr>
          <w:top w:val="nil"/>
          <w:left w:val="nil"/>
          <w:bottom w:val="nil"/>
          <w:right w:val="nil"/>
          <w:between w:val="nil"/>
        </w:pBdr>
        <w:jc w:val="both"/>
        <w:rPr>
          <w:rFonts w:ascii="Arial" w:eastAsia="Arial" w:hAnsi="Arial" w:cs="Arial"/>
          <w:sz w:val="24"/>
          <w:szCs w:val="24"/>
        </w:rPr>
      </w:pPr>
      <w:bookmarkStart w:id="3" w:name="_heading=h.gjdgxs" w:colFirst="0" w:colLast="0"/>
      <w:bookmarkEnd w:id="3"/>
      <w:r>
        <w:rPr>
          <w:rFonts w:ascii="Arial" w:eastAsia="Arial" w:hAnsi="Arial" w:cs="Arial"/>
          <w:sz w:val="24"/>
          <w:szCs w:val="24"/>
        </w:rPr>
        <w:t xml:space="preserve">Este estudio forma parte de un proyecto más amplio sobre la transición del paleolítico medio al superior en Europa occidental. La intervención arqueológica en la cueva de la Arbreda se enmarca en el proyecto cuatrienal </w:t>
      </w:r>
      <w:r>
        <w:rPr>
          <w:rFonts w:ascii="Arial" w:eastAsia="Arial" w:hAnsi="Arial" w:cs="Arial"/>
          <w:i/>
          <w:sz w:val="24"/>
          <w:szCs w:val="24"/>
        </w:rPr>
        <w:t>"</w:t>
      </w:r>
      <w:r w:rsidR="0083218C" w:rsidRPr="0083218C">
        <w:rPr>
          <w:rFonts w:ascii="Arial" w:eastAsia="Arial" w:hAnsi="Arial" w:cs="Arial"/>
          <w:i/>
          <w:sz w:val="24"/>
          <w:szCs w:val="24"/>
        </w:rPr>
        <w:t xml:space="preserve"> </w:t>
      </w:r>
      <w:r w:rsidR="0083218C">
        <w:rPr>
          <w:rFonts w:ascii="Arial" w:eastAsia="Arial" w:hAnsi="Arial" w:cs="Arial"/>
          <w:i/>
          <w:sz w:val="24"/>
          <w:szCs w:val="24"/>
        </w:rPr>
        <w:t>Les coves de Serinyà (Pla de l’Estany) i altres jaciments prehistòrics del seu entorn i d’àrees veïnes</w:t>
      </w:r>
      <w:r>
        <w:rPr>
          <w:rFonts w:ascii="Arial" w:eastAsia="Arial" w:hAnsi="Arial" w:cs="Arial"/>
          <w:sz w:val="24"/>
          <w:szCs w:val="24"/>
        </w:rPr>
        <w:t xml:space="preserve">" del </w:t>
      </w:r>
      <w:r w:rsidR="0083218C">
        <w:rPr>
          <w:rFonts w:ascii="Arial" w:eastAsia="Arial" w:hAnsi="Arial" w:cs="Arial"/>
          <w:sz w:val="24"/>
          <w:szCs w:val="24"/>
        </w:rPr>
        <w:t xml:space="preserve">Departament de Cultura de la Generalitat de Catalunya </w:t>
      </w:r>
      <w:r>
        <w:rPr>
          <w:rFonts w:ascii="Arial" w:eastAsia="Arial" w:hAnsi="Arial" w:cs="Arial"/>
          <w:sz w:val="24"/>
          <w:szCs w:val="24"/>
        </w:rPr>
        <w:t xml:space="preserve">y cuenta también con el apoyo del </w:t>
      </w:r>
      <w:r w:rsidR="0083218C">
        <w:rPr>
          <w:rFonts w:ascii="Arial" w:eastAsia="Arial" w:hAnsi="Arial" w:cs="Arial"/>
          <w:sz w:val="24"/>
          <w:szCs w:val="24"/>
        </w:rPr>
        <w:t>Consell Comarcal del Pla de l’Estany y el a</w:t>
      </w:r>
      <w:r>
        <w:rPr>
          <w:rFonts w:ascii="Arial" w:eastAsia="Arial" w:hAnsi="Arial" w:cs="Arial"/>
          <w:sz w:val="24"/>
          <w:szCs w:val="24"/>
        </w:rPr>
        <w:t xml:space="preserve">yuntamiento de Serinyà. </w:t>
      </w:r>
      <w:r w:rsidR="0083218C">
        <w:rPr>
          <w:rFonts w:ascii="Arial" w:eastAsia="Arial" w:hAnsi="Arial" w:cs="Arial"/>
          <w:sz w:val="24"/>
          <w:szCs w:val="24"/>
        </w:rPr>
        <w:t>Marina Lozano forma parte del proyecto “Eco-Social behaviour of the Sierra de Atapuerca Hominins during Quaternary, VI” PID2021-122355NB-C32” y del SGR “Social, Cultural and Biological Evolution during the Pleistocene (StEP)” 2021 SGR 01239.</w:t>
      </w:r>
    </w:p>
    <w:p w14:paraId="61383117" w14:textId="606DB448" w:rsidR="00B60124" w:rsidRDefault="00B60124">
      <w:pPr>
        <w:pBdr>
          <w:top w:val="nil"/>
          <w:left w:val="nil"/>
          <w:bottom w:val="nil"/>
          <w:right w:val="nil"/>
          <w:between w:val="nil"/>
        </w:pBdr>
        <w:jc w:val="both"/>
        <w:rPr>
          <w:rFonts w:ascii="Arial" w:eastAsia="Arial" w:hAnsi="Arial" w:cs="Arial"/>
          <w:sz w:val="24"/>
          <w:szCs w:val="24"/>
        </w:rPr>
      </w:pPr>
    </w:p>
    <w:p w14:paraId="43C02EB3" w14:textId="77777777" w:rsidR="00B60124" w:rsidRDefault="00B60124">
      <w:pPr>
        <w:pBdr>
          <w:top w:val="nil"/>
          <w:left w:val="nil"/>
          <w:bottom w:val="nil"/>
          <w:right w:val="nil"/>
          <w:between w:val="nil"/>
        </w:pBdr>
        <w:jc w:val="both"/>
        <w:rPr>
          <w:rFonts w:ascii="Arial" w:eastAsia="Arial" w:hAnsi="Arial" w:cs="Arial"/>
          <w:color w:val="000000"/>
        </w:rPr>
      </w:pPr>
    </w:p>
    <w:sectPr w:rsidR="00B60124">
      <w:headerReference w:type="default" r:id="rId10"/>
      <w:footerReference w:type="default" r:id="rId11"/>
      <w:headerReference w:type="first" r:id="rId12"/>
      <w:footerReference w:type="first" r:id="rId13"/>
      <w:pgSz w:w="11906" w:h="16838"/>
      <w:pgMar w:top="1417" w:right="1417" w:bottom="1417" w:left="1417" w:header="708" w:footer="708"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50272" w14:textId="77777777" w:rsidR="00C149F7" w:rsidRDefault="002C4961">
      <w:pPr>
        <w:spacing w:after="0" w:line="240" w:lineRule="auto"/>
      </w:pPr>
      <w:r>
        <w:separator/>
      </w:r>
    </w:p>
  </w:endnote>
  <w:endnote w:type="continuationSeparator" w:id="0">
    <w:p w14:paraId="720B896F" w14:textId="77777777" w:rsidR="00C149F7" w:rsidRDefault="002C4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72E14" w14:textId="77777777" w:rsidR="00B60124" w:rsidRDefault="002C4961">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07AFA54A"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7864AA32"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48E247B6"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2BE5DB39" w14:textId="77777777" w:rsidR="00B60124" w:rsidRDefault="002C4961">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87D17" w14:textId="77777777" w:rsidR="00B60124" w:rsidRDefault="002C4961">
    <w:pPr>
      <w:pBdr>
        <w:top w:val="nil"/>
        <w:left w:val="nil"/>
        <w:bottom w:val="nil"/>
        <w:right w:val="nil"/>
        <w:between w:val="nil"/>
      </w:pBdr>
      <w:tabs>
        <w:tab w:val="left" w:pos="113"/>
      </w:tabs>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Comunicación IPHES</w:t>
    </w:r>
  </w:p>
  <w:p w14:paraId="2473A6BC"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 xml:space="preserve">ce: </w:t>
    </w:r>
    <w:hyperlink r:id="rId1">
      <w:r>
        <w:rPr>
          <w:rFonts w:ascii="Gill Sans" w:eastAsia="Gill Sans" w:hAnsi="Gill Sans" w:cs="Gill Sans"/>
          <w:color w:val="000000"/>
          <w:sz w:val="16"/>
          <w:szCs w:val="16"/>
        </w:rPr>
        <w:t>comunicacio@iphes.cat</w:t>
      </w:r>
    </w:hyperlink>
  </w:p>
  <w:p w14:paraId="03D049CD"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Teléfono: 607 981 250</w:t>
    </w:r>
  </w:p>
  <w:p w14:paraId="68ABE63B" w14:textId="77777777" w:rsidR="00B60124" w:rsidRDefault="002C4961">
    <w:pPr>
      <w:pBdr>
        <w:top w:val="nil"/>
        <w:left w:val="nil"/>
        <w:bottom w:val="nil"/>
        <w:right w:val="nil"/>
        <w:between w:val="nil"/>
      </w:pBdr>
      <w:spacing w:after="0" w:line="240" w:lineRule="auto"/>
      <w:ind w:firstLine="284"/>
      <w:jc w:val="right"/>
      <w:rPr>
        <w:rFonts w:ascii="Gill Sans" w:eastAsia="Gill Sans" w:hAnsi="Gill Sans" w:cs="Gill Sans"/>
        <w:color w:val="000000"/>
        <w:sz w:val="16"/>
        <w:szCs w:val="16"/>
      </w:rPr>
    </w:pPr>
    <w:r>
      <w:rPr>
        <w:rFonts w:ascii="Gill Sans" w:eastAsia="Gill Sans" w:hAnsi="Gill Sans" w:cs="Gill Sans"/>
        <w:color w:val="000000"/>
        <w:sz w:val="16"/>
        <w:szCs w:val="16"/>
      </w:rPr>
      <w:t>Zona Educacional 4. Campus Sescelades URV (Edificio W3)</w:t>
    </w:r>
  </w:p>
  <w:p w14:paraId="25AC5E72" w14:textId="77777777" w:rsidR="00B60124" w:rsidRDefault="002C4961">
    <w:pPr>
      <w:pBdr>
        <w:top w:val="nil"/>
        <w:left w:val="nil"/>
        <w:bottom w:val="nil"/>
        <w:right w:val="nil"/>
        <w:between w:val="nil"/>
      </w:pBdr>
      <w:tabs>
        <w:tab w:val="center" w:pos="4419"/>
        <w:tab w:val="right" w:pos="8838"/>
      </w:tabs>
      <w:spacing w:after="0" w:line="240" w:lineRule="auto"/>
      <w:jc w:val="right"/>
      <w:rPr>
        <w:color w:val="000000"/>
      </w:rPr>
    </w:pPr>
    <w:r>
      <w:rPr>
        <w:color w:val="000000"/>
        <w:sz w:val="16"/>
        <w:szCs w:val="16"/>
      </w:rPr>
      <w:t>43007, Tarragona</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CC5FB8" w14:textId="77777777" w:rsidR="00C149F7" w:rsidRDefault="002C4961">
      <w:pPr>
        <w:spacing w:after="0" w:line="240" w:lineRule="auto"/>
      </w:pPr>
      <w:r>
        <w:separator/>
      </w:r>
    </w:p>
  </w:footnote>
  <w:footnote w:type="continuationSeparator" w:id="0">
    <w:p w14:paraId="0B60B3C6" w14:textId="77777777" w:rsidR="00C149F7" w:rsidRDefault="002C496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08EAF" w14:textId="77777777" w:rsidR="00B60124" w:rsidRDefault="002C496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000000"/>
        <w:sz w:val="26"/>
        <w:szCs w:val="26"/>
      </w:rPr>
      <w:tab/>
    </w:r>
  </w:p>
  <w:p w14:paraId="249E9EDA" w14:textId="77777777" w:rsidR="00B60124" w:rsidRDefault="00B60124">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7440CB69" w14:textId="77777777" w:rsidR="00B60124" w:rsidRDefault="00B60124">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90B33" w14:textId="77777777" w:rsidR="00B60124" w:rsidRDefault="00B60124">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p>
  <w:p w14:paraId="408F6FCE" w14:textId="77777777" w:rsidR="00B60124" w:rsidRDefault="00B60124">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tbl>
    <w:tblPr>
      <w:tblStyle w:val="a0"/>
      <w:tblW w:w="9288" w:type="dxa"/>
      <w:tblInd w:w="-216" w:type="dxa"/>
      <w:tblBorders>
        <w:top w:val="nil"/>
        <w:left w:val="nil"/>
        <w:bottom w:val="nil"/>
        <w:right w:val="nil"/>
        <w:insideH w:val="nil"/>
        <w:insideV w:val="nil"/>
      </w:tblBorders>
      <w:tblLayout w:type="fixed"/>
      <w:tblLook w:val="0400" w:firstRow="0" w:lastRow="0" w:firstColumn="0" w:lastColumn="0" w:noHBand="0" w:noVBand="1"/>
    </w:tblPr>
    <w:tblGrid>
      <w:gridCol w:w="2428"/>
      <w:gridCol w:w="2678"/>
      <w:gridCol w:w="2413"/>
      <w:gridCol w:w="1769"/>
    </w:tblGrid>
    <w:tr w:rsidR="00B60124" w14:paraId="65DABEF6" w14:textId="77777777">
      <w:tc>
        <w:tcPr>
          <w:tcW w:w="2428" w:type="dxa"/>
        </w:tcPr>
        <w:p w14:paraId="59C1083A" w14:textId="39EE704F" w:rsidR="00B60124" w:rsidRDefault="00B60124">
          <w:pPr>
            <w:pBdr>
              <w:top w:val="nil"/>
              <w:left w:val="nil"/>
              <w:bottom w:val="nil"/>
              <w:right w:val="nil"/>
              <w:between w:val="nil"/>
            </w:pBdr>
            <w:tabs>
              <w:tab w:val="center" w:pos="4419"/>
              <w:tab w:val="right" w:pos="8838"/>
            </w:tabs>
            <w:spacing w:after="160" w:line="259" w:lineRule="auto"/>
            <w:rPr>
              <w:rFonts w:ascii="Gill Sans" w:eastAsia="Gill Sans" w:hAnsi="Gill Sans" w:cs="Gill Sans"/>
              <w:b/>
              <w:color w:val="A03033"/>
              <w:sz w:val="32"/>
              <w:szCs w:val="32"/>
            </w:rPr>
          </w:pPr>
        </w:p>
      </w:tc>
      <w:tc>
        <w:tcPr>
          <w:tcW w:w="2678" w:type="dxa"/>
        </w:tcPr>
        <w:p w14:paraId="5D658378" w14:textId="1898D34A" w:rsidR="00B60124" w:rsidRDefault="00B60124">
          <w:pPr>
            <w:pBdr>
              <w:top w:val="nil"/>
              <w:left w:val="nil"/>
              <w:bottom w:val="nil"/>
              <w:right w:val="nil"/>
              <w:between w:val="nil"/>
            </w:pBdr>
            <w:tabs>
              <w:tab w:val="center" w:pos="4419"/>
              <w:tab w:val="right" w:pos="8838"/>
            </w:tabs>
            <w:spacing w:after="160" w:line="259" w:lineRule="auto"/>
            <w:rPr>
              <w:rFonts w:ascii="Gill Sans" w:eastAsia="Gill Sans" w:hAnsi="Gill Sans" w:cs="Gill Sans"/>
              <w:b/>
              <w:color w:val="A03033"/>
              <w:sz w:val="32"/>
              <w:szCs w:val="32"/>
            </w:rPr>
          </w:pPr>
        </w:p>
      </w:tc>
      <w:tc>
        <w:tcPr>
          <w:tcW w:w="2413" w:type="dxa"/>
        </w:tcPr>
        <w:p w14:paraId="1A7169BD" w14:textId="3D0F8CC9" w:rsidR="00B60124" w:rsidRDefault="00B60124">
          <w:pPr>
            <w:pBdr>
              <w:top w:val="nil"/>
              <w:left w:val="nil"/>
              <w:bottom w:val="nil"/>
              <w:right w:val="nil"/>
              <w:between w:val="nil"/>
            </w:pBdr>
            <w:tabs>
              <w:tab w:val="center" w:pos="4419"/>
              <w:tab w:val="right" w:pos="8838"/>
            </w:tabs>
            <w:spacing w:after="160" w:line="259" w:lineRule="auto"/>
            <w:rPr>
              <w:rFonts w:ascii="Gill Sans" w:eastAsia="Gill Sans" w:hAnsi="Gill Sans" w:cs="Gill Sans"/>
              <w:b/>
              <w:color w:val="A03033"/>
              <w:sz w:val="32"/>
              <w:szCs w:val="32"/>
            </w:rPr>
          </w:pPr>
        </w:p>
      </w:tc>
      <w:tc>
        <w:tcPr>
          <w:tcW w:w="1769" w:type="dxa"/>
        </w:tcPr>
        <w:p w14:paraId="0BF234A8" w14:textId="0B5769E8" w:rsidR="00B60124" w:rsidRDefault="00B60124">
          <w:pPr>
            <w:pBdr>
              <w:top w:val="nil"/>
              <w:left w:val="nil"/>
              <w:bottom w:val="nil"/>
              <w:right w:val="nil"/>
              <w:between w:val="nil"/>
            </w:pBdr>
            <w:tabs>
              <w:tab w:val="center" w:pos="4419"/>
              <w:tab w:val="right" w:pos="8838"/>
            </w:tabs>
            <w:spacing w:after="160" w:line="259" w:lineRule="auto"/>
            <w:rPr>
              <w:rFonts w:ascii="Gill Sans" w:eastAsia="Gill Sans" w:hAnsi="Gill Sans" w:cs="Gill Sans"/>
              <w:b/>
              <w:color w:val="A03033"/>
              <w:sz w:val="32"/>
              <w:szCs w:val="32"/>
            </w:rPr>
          </w:pPr>
        </w:p>
      </w:tc>
    </w:tr>
  </w:tbl>
  <w:p w14:paraId="13DCCA79" w14:textId="3386AFA4" w:rsidR="00B60124" w:rsidRDefault="00A87517">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b/>
        <w:noProof/>
        <w:color w:val="A03033"/>
        <w:sz w:val="32"/>
        <w:szCs w:val="32"/>
      </w:rPr>
      <w:drawing>
        <wp:inline distT="0" distB="0" distL="0" distR="0" wp14:anchorId="510CEF8F" wp14:editId="2A57DD66">
          <wp:extent cx="5760720" cy="813435"/>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_Arbreda.jpg"/>
                  <pic:cNvPicPr/>
                </pic:nvPicPr>
                <pic:blipFill>
                  <a:blip r:embed="rId1">
                    <a:extLst>
                      <a:ext uri="{28A0092B-C50C-407E-A947-70E740481C1C}">
                        <a14:useLocalDpi xmlns:a14="http://schemas.microsoft.com/office/drawing/2010/main" val="0"/>
                      </a:ext>
                    </a:extLst>
                  </a:blip>
                  <a:stretch>
                    <a:fillRect/>
                  </a:stretch>
                </pic:blipFill>
                <pic:spPr>
                  <a:xfrm>
                    <a:off x="0" y="0"/>
                    <a:ext cx="5760720" cy="813435"/>
                  </a:xfrm>
                  <a:prstGeom prst="rect">
                    <a:avLst/>
                  </a:prstGeom>
                </pic:spPr>
              </pic:pic>
            </a:graphicData>
          </a:graphic>
        </wp:inline>
      </w:drawing>
    </w:r>
  </w:p>
  <w:p w14:paraId="1850350A" w14:textId="77777777" w:rsidR="00B60124" w:rsidRDefault="00B60124">
    <w:pPr>
      <w:pBdr>
        <w:top w:val="nil"/>
        <w:left w:val="nil"/>
        <w:bottom w:val="nil"/>
        <w:right w:val="nil"/>
        <w:between w:val="nil"/>
      </w:pBdr>
      <w:tabs>
        <w:tab w:val="center" w:pos="4419"/>
        <w:tab w:val="right" w:pos="8838"/>
      </w:tabs>
      <w:spacing w:after="0" w:line="240" w:lineRule="auto"/>
      <w:rPr>
        <w:rFonts w:ascii="Gill Sans" w:eastAsia="Gill Sans" w:hAnsi="Gill Sans" w:cs="Gill Sans"/>
        <w:b/>
        <w:color w:val="A03033"/>
        <w:sz w:val="32"/>
        <w:szCs w:val="32"/>
      </w:rPr>
    </w:pPr>
  </w:p>
  <w:p w14:paraId="580F7322" w14:textId="77777777" w:rsidR="00B60124" w:rsidRDefault="002C4961">
    <w:pPr>
      <w:pBdr>
        <w:top w:val="nil"/>
        <w:left w:val="nil"/>
        <w:bottom w:val="nil"/>
        <w:right w:val="nil"/>
        <w:between w:val="nil"/>
      </w:pBdr>
      <w:tabs>
        <w:tab w:val="center" w:pos="4419"/>
        <w:tab w:val="right" w:pos="8838"/>
      </w:tabs>
      <w:spacing w:after="0" w:line="240" w:lineRule="auto"/>
      <w:rPr>
        <w:color w:val="000000"/>
      </w:rPr>
    </w:pPr>
    <w:r>
      <w:rPr>
        <w:rFonts w:ascii="Gill Sans" w:eastAsia="Gill Sans" w:hAnsi="Gill Sans" w:cs="Gill Sans"/>
        <w:b/>
        <w:color w:val="A03033"/>
        <w:sz w:val="32"/>
        <w:szCs w:val="32"/>
      </w:rPr>
      <w:t>NOTA DE PRENSA</w:t>
    </w:r>
  </w:p>
  <w:p w14:paraId="63C0C986" w14:textId="77777777" w:rsidR="00B60124" w:rsidRDefault="002C4961">
    <w:pPr>
      <w:pBdr>
        <w:top w:val="nil"/>
        <w:left w:val="nil"/>
        <w:bottom w:val="nil"/>
        <w:right w:val="nil"/>
        <w:between w:val="nil"/>
      </w:pBdr>
      <w:tabs>
        <w:tab w:val="center" w:pos="4419"/>
        <w:tab w:val="right" w:pos="8838"/>
      </w:tabs>
      <w:spacing w:after="0" w:line="240" w:lineRule="auto"/>
      <w:rPr>
        <w:rFonts w:ascii="Gill Sans" w:eastAsia="Gill Sans" w:hAnsi="Gill Sans" w:cs="Gill Sans"/>
        <w:color w:val="796A62"/>
        <w:sz w:val="26"/>
        <w:szCs w:val="26"/>
      </w:rPr>
    </w:pPr>
    <w:r>
      <w:rPr>
        <w:rFonts w:ascii="Gill Sans" w:eastAsia="Gill Sans" w:hAnsi="Gill Sans" w:cs="Gill Sans"/>
        <w:color w:val="796A62"/>
        <w:sz w:val="26"/>
        <w:szCs w:val="26"/>
      </w:rPr>
      <w:t>comunicacio@iphes.cat</w:t>
    </w:r>
  </w:p>
  <w:p w14:paraId="76000247" w14:textId="77777777" w:rsidR="00B60124" w:rsidRDefault="002C4961">
    <w:pPr>
      <w:pBdr>
        <w:top w:val="nil"/>
        <w:left w:val="nil"/>
        <w:bottom w:val="nil"/>
        <w:right w:val="nil"/>
        <w:between w:val="nil"/>
      </w:pBdr>
      <w:tabs>
        <w:tab w:val="center" w:pos="4419"/>
        <w:tab w:val="right" w:pos="8838"/>
        <w:tab w:val="left" w:pos="3160"/>
      </w:tabs>
      <w:spacing w:after="0" w:line="240" w:lineRule="auto"/>
      <w:rPr>
        <w:rFonts w:ascii="Gill Sans" w:eastAsia="Gill Sans" w:hAnsi="Gill Sans" w:cs="Gill Sans"/>
        <w:color w:val="000000"/>
        <w:sz w:val="26"/>
        <w:szCs w:val="26"/>
      </w:rPr>
    </w:pPr>
    <w:r>
      <w:rPr>
        <w:rFonts w:ascii="Gill Sans" w:eastAsia="Gill Sans" w:hAnsi="Gill Sans" w:cs="Gill Sans"/>
        <w:color w:val="796A62"/>
        <w:sz w:val="26"/>
        <w:szCs w:val="26"/>
      </w:rPr>
      <w:t>www.iphes.cat</w:t>
    </w:r>
  </w:p>
  <w:p w14:paraId="79644D82" w14:textId="77777777" w:rsidR="00B60124" w:rsidRDefault="00B60124">
    <w:pPr>
      <w:pBdr>
        <w:top w:val="nil"/>
        <w:left w:val="nil"/>
        <w:bottom w:val="nil"/>
        <w:right w:val="nil"/>
        <w:between w:val="nil"/>
      </w:pBdr>
      <w:tabs>
        <w:tab w:val="center" w:pos="4419"/>
        <w:tab w:val="right" w:pos="88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
  <w:rsids>
    <w:rsidRoot w:val="00B60124"/>
    <w:rsid w:val="002C4961"/>
    <w:rsid w:val="0083218C"/>
    <w:rsid w:val="00A87517"/>
    <w:rsid w:val="00B60124"/>
    <w:rsid w:val="00C149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DA2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customStyle="1" w:styleId="Normal10">
    <w:name w:val="Normal1"/>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customStyle="1" w:styleId="Normal10">
    <w:name w:val="Normal1"/>
  </w:style>
  <w:style w:type="table" w:customStyle="1" w:styleId="TableNormal0">
    <w:name w:val="Table Normal"/>
    <w:tblPr>
      <w:tblCellMar>
        <w:top w:w="0" w:type="dxa"/>
        <w:left w:w="0" w:type="dxa"/>
        <w:bottom w:w="0" w:type="dxa"/>
        <w:right w:w="0" w:type="dxa"/>
      </w:tblCellMar>
    </w:tblPr>
  </w:style>
  <w:style w:type="paragraph" w:customStyle="1" w:styleId="Normal1">
    <w:name w:val="Normal1"/>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AA788A"/>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A788A"/>
    <w:rPr>
      <w:rFonts w:ascii="Lucida Grande" w:hAnsi="Lucida Grande" w:cs="Lucida Grande"/>
      <w:sz w:val="18"/>
      <w:szCs w:val="18"/>
    </w:rPr>
  </w:style>
  <w:style w:type="paragraph" w:styleId="Encabezado">
    <w:name w:val="header"/>
    <w:basedOn w:val="Normal"/>
    <w:link w:val="EncabezadoCar"/>
    <w:uiPriority w:val="99"/>
    <w:unhideWhenUsed/>
    <w:rsid w:val="00AA78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88A"/>
  </w:style>
  <w:style w:type="paragraph" w:styleId="Piedepgina">
    <w:name w:val="footer"/>
    <w:basedOn w:val="Normal"/>
    <w:link w:val="PiedepginaCar"/>
    <w:uiPriority w:val="99"/>
    <w:unhideWhenUsed/>
    <w:rsid w:val="00AA78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88A"/>
  </w:style>
  <w:style w:type="table" w:styleId="Tablaconcuadrcula">
    <w:name w:val="Table Grid"/>
    <w:basedOn w:val="Tablanormal"/>
    <w:uiPriority w:val="59"/>
    <w:rsid w:val="00AA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232BE1"/>
    <w:rPr>
      <w:rFonts w:ascii="Times New Roman" w:hAnsi="Times New Roman" w:cs="Times New Roman"/>
      <w:sz w:val="24"/>
      <w:szCs w:val="24"/>
    </w:rPr>
  </w:style>
  <w:style w:type="character" w:styleId="Hipervnculo">
    <w:name w:val="Hyperlink"/>
    <w:basedOn w:val="Fuentedeprrafopredeter"/>
    <w:uiPriority w:val="99"/>
    <w:unhideWhenUsed/>
    <w:rsid w:val="00232BE1"/>
    <w:rPr>
      <w:color w:val="0000FF" w:themeColor="hyperlink"/>
      <w:u w:val="single"/>
    </w:rPr>
  </w:style>
  <w:style w:type="character" w:styleId="Textoennegrita">
    <w:name w:val="Strong"/>
    <w:basedOn w:val="Fuentedeprrafopredeter"/>
    <w:uiPriority w:val="22"/>
    <w:qFormat/>
    <w:rsid w:val="00362214"/>
    <w:rPr>
      <w:b/>
      <w:bCs/>
    </w:rPr>
  </w:style>
  <w:style w:type="character" w:styleId="Refdecomentario">
    <w:name w:val="annotation reference"/>
    <w:basedOn w:val="Fuentedeprrafopredeter"/>
    <w:uiPriority w:val="99"/>
    <w:semiHidden/>
    <w:unhideWhenUsed/>
    <w:rsid w:val="00CB64C9"/>
    <w:rPr>
      <w:sz w:val="16"/>
      <w:szCs w:val="16"/>
    </w:rPr>
  </w:style>
  <w:style w:type="paragraph" w:styleId="Textocomentario">
    <w:name w:val="annotation text"/>
    <w:basedOn w:val="Normal"/>
    <w:link w:val="TextocomentarioCar"/>
    <w:uiPriority w:val="99"/>
    <w:semiHidden/>
    <w:unhideWhenUsed/>
    <w:rsid w:val="00CB64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B64C9"/>
    <w:rPr>
      <w:sz w:val="20"/>
      <w:szCs w:val="20"/>
    </w:rPr>
  </w:style>
  <w:style w:type="paragraph" w:styleId="Asuntodelcomentario">
    <w:name w:val="annotation subject"/>
    <w:basedOn w:val="Textocomentario"/>
    <w:next w:val="Textocomentario"/>
    <w:link w:val="AsuntodelcomentarioCar"/>
    <w:uiPriority w:val="99"/>
    <w:semiHidden/>
    <w:unhideWhenUsed/>
    <w:rsid w:val="00CB64C9"/>
    <w:rPr>
      <w:b/>
      <w:bCs/>
    </w:rPr>
  </w:style>
  <w:style w:type="character" w:customStyle="1" w:styleId="AsuntodelcomentarioCar">
    <w:name w:val="Asunto del comentario Car"/>
    <w:basedOn w:val="TextocomentarioCar"/>
    <w:link w:val="Asuntodelcomentario"/>
    <w:uiPriority w:val="99"/>
    <w:semiHidden/>
    <w:rsid w:val="00CB64C9"/>
    <w:rPr>
      <w:b/>
      <w:bCs/>
      <w:sz w:val="20"/>
      <w:szCs w:val="20"/>
    </w:rPr>
  </w:style>
  <w:style w:type="table" w:customStyle="1" w:styleId="a">
    <w:basedOn w:val="TableNormal1"/>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101266">
      <w:bodyDiv w:val="1"/>
      <w:marLeft w:val="0"/>
      <w:marRight w:val="0"/>
      <w:marTop w:val="0"/>
      <w:marBottom w:val="0"/>
      <w:divBdr>
        <w:top w:val="none" w:sz="0" w:space="0" w:color="auto"/>
        <w:left w:val="none" w:sz="0" w:space="0" w:color="auto"/>
        <w:bottom w:val="none" w:sz="0" w:space="0" w:color="auto"/>
        <w:right w:val="none" w:sz="0" w:space="0" w:color="auto"/>
      </w:divBdr>
    </w:div>
    <w:div w:id="124040786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nlinelibrary.wiley.com/doi/10.1002/ajpa.25037" TargetMode="External"/><Relationship Id="rId9" Type="http://schemas.openxmlformats.org/officeDocument/2006/relationships/hyperlink" Target="https://doi.org/10.1002/ajpa.25037"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comunicacio@iphes.c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jl60AjT1163HGW+JkH916Uv8Q==">CgMxLjAyCWguMmV0OTJwMDIJaC4zMGowemxsMghoLmdqZGd4czgAciExdC1VV09wbGZUNmJ6aGxQbnBfTVZUVDZ2eG5pSG9uTG0=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1016</Words>
  <Characters>5594</Characters>
  <Application>Microsoft Macintosh Word</Application>
  <DocSecurity>0</DocSecurity>
  <Lines>46</Lines>
  <Paragraphs>13</Paragraphs>
  <ScaleCrop>false</ScaleCrop>
  <Company/>
  <LinksUpToDate>false</LinksUpToDate>
  <CharactersWithSpaces>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Andreu Ollé</dc:creator>
  <cp:lastModifiedBy>Gerard Campeny Vall-llosera</cp:lastModifiedBy>
  <cp:revision>4</cp:revision>
  <dcterms:created xsi:type="dcterms:W3CDTF">2024-10-21T08:53:00Z</dcterms:created>
  <dcterms:modified xsi:type="dcterms:W3CDTF">2024-11-13T19:07:00Z</dcterms:modified>
</cp:coreProperties>
</file>