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3E191" w14:textId="77777777" w:rsidR="00B46B66" w:rsidRDefault="00703E9D">
      <w:pPr>
        <w:spacing w:after="20"/>
      </w:pPr>
      <w:r>
        <w:rPr>
          <w:rFonts w:ascii="Aptos Display" w:eastAsia="Aptos Display" w:hAnsi="Aptos Display"/>
          <w:b/>
          <w:color w:val="403630"/>
          <w:sz w:val="40"/>
        </w:rPr>
        <w:t>IPHES-CERCA at UISPP 2026</w:t>
      </w:r>
    </w:p>
    <w:p w14:paraId="55514048" w14:textId="77777777" w:rsidR="00B46B66" w:rsidRDefault="00703E9D">
      <w:pPr>
        <w:spacing w:after="120"/>
      </w:pPr>
      <w:r>
        <w:rPr>
          <w:color w:val="696058"/>
          <w:sz w:val="21"/>
        </w:rPr>
        <w:t>Scientific contributions · Complete list</w:t>
      </w:r>
    </w:p>
    <w:p w14:paraId="291BE45F" w14:textId="77777777" w:rsidR="00B46B66" w:rsidRDefault="00703E9D">
      <w:pPr>
        <w:spacing w:after="160"/>
      </w:pPr>
      <w:r>
        <w:rPr>
          <w:b/>
          <w:color w:val="403630"/>
          <w:sz w:val="19"/>
        </w:rPr>
        <w:t>51 contributions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794"/>
        <w:gridCol w:w="8731"/>
        <w:gridCol w:w="5386"/>
      </w:tblGrid>
      <w:tr w:rsidR="00B46B66" w14:paraId="07F17A7C" w14:textId="77777777">
        <w:trPr>
          <w:tblHeader/>
          <w:jc w:val="center"/>
        </w:trPr>
        <w:tc>
          <w:tcPr>
            <w:tcW w:w="454" w:type="dxa"/>
            <w:tcBorders>
              <w:top w:val="nil"/>
              <w:left w:val="nil"/>
              <w:bottom w:val="single" w:sz="6" w:space="0" w:color="6B625B"/>
              <w:right w:val="nil"/>
            </w:tcBorders>
            <w:shd w:val="clear" w:color="auto" w:fill="6B625B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2E14DEAA" w14:textId="77777777" w:rsidR="00B46B66" w:rsidRDefault="00703E9D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6B625B"/>
              <w:right w:val="nil"/>
            </w:tcBorders>
            <w:shd w:val="clear" w:color="auto" w:fill="6B625B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71AEE48A" w14:textId="77777777" w:rsidR="00B46B66" w:rsidRDefault="00703E9D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Type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6" w:space="0" w:color="6B625B"/>
              <w:right w:val="nil"/>
            </w:tcBorders>
            <w:shd w:val="clear" w:color="auto" w:fill="6B625B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5D827898" w14:textId="77777777" w:rsidR="00B46B66" w:rsidRDefault="00703E9D">
            <w:pPr>
              <w:spacing w:after="0"/>
            </w:pPr>
            <w:r>
              <w:rPr>
                <w:b/>
                <w:color w:val="FFFFFF"/>
                <w:sz w:val="17"/>
              </w:rPr>
              <w:t>Contribution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6" w:space="0" w:color="6B625B"/>
              <w:right w:val="nil"/>
            </w:tcBorders>
            <w:shd w:val="clear" w:color="auto" w:fill="6B625B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71593FCC" w14:textId="77777777" w:rsidR="00B46B66" w:rsidRDefault="00703E9D">
            <w:pPr>
              <w:spacing w:after="0"/>
            </w:pPr>
            <w:r>
              <w:rPr>
                <w:b/>
                <w:color w:val="FFFFFF"/>
                <w:sz w:val="17"/>
              </w:rPr>
              <w:t>IPHES-CERCA authors</w:t>
            </w:r>
          </w:p>
        </w:tc>
      </w:tr>
      <w:tr w:rsidR="00B46B66" w14:paraId="19FC589D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5F4A6C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5B04325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60CA42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Exploration of Combustion Structures as Archaeological Archives through Organic Geochemistry and Micromorphology Analyses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E025178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Lila L. Warnitz; Josep Vallverdú</w:t>
            </w:r>
          </w:p>
        </w:tc>
      </w:tr>
      <w:tr w:rsidR="00B46B66" w14:paraId="3B162249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0E047B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72C18A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BAFBC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A Revised Microstratigraphy from Cova Foradada (Calafell, NE Iberia)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D5A4501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Juan I. Morales; Mónica Fernández-García</w:t>
            </w:r>
          </w:p>
        </w:tc>
      </w:tr>
      <w:tr w:rsidR="00B46B66" w14:paraId="2C78802F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B2E2C2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60A1A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72609B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Microstratigraphy and Holocene Slope Deposits in the Middle Tagus Valley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950667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Josep Vallverdú</w:t>
            </w:r>
          </w:p>
        </w:tc>
      </w:tr>
      <w:tr w:rsidR="00B46B66" w14:paraId="7B7BC71D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5DA5C73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19654B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A4FCCF4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Broken Bones and Smashed Edges. Traceological Analysis of a Set of Experimental Wedges Used to Split Phalanges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769D42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Juan Luis Fernández-Marchena; Andreu Ollé; Javier Villalobos; Antonio Rodríguez-Hidalgo; Palmira Saladié</w:t>
            </w:r>
          </w:p>
        </w:tc>
      </w:tr>
      <w:tr w:rsidR="00B46B66" w14:paraId="70342C86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929114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D49BA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A65663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Tool-Use Models in the Early </w:t>
            </w:r>
            <w:r>
              <w:rPr>
                <w:color w:val="303030"/>
                <w:sz w:val="17"/>
              </w:rPr>
              <w:t>and Middle Pleistocene Lithic Assemblages from Atapuerca (Burgos, Spain)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F0FE79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Andreu Ollé; Lena Asryan; Juan Luis Fernández-Marchena; Görkem Cenk Yeşilova; Xosé Pedro Rodríguez; Robert Sala; Marina Mosquera; Paula Mateo-Lomba; Tamar Bitchashvili; Andion Arteaga</w:t>
            </w:r>
            <w:r>
              <w:rPr>
                <w:color w:val="303030"/>
                <w:sz w:val="16"/>
              </w:rPr>
              <w:t>-Brieba</w:t>
            </w:r>
          </w:p>
        </w:tc>
      </w:tr>
      <w:tr w:rsidR="00B46B66" w14:paraId="440BB962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C9CF204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FD3521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EC1D3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Scratch the Surface: Tribological Behavior of Quartzite and Obsidian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C2A765E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Görkem Cenk Yeşilova; Andreu Ollé</w:t>
            </w:r>
          </w:p>
        </w:tc>
      </w:tr>
      <w:tr w:rsidR="00B46B66" w14:paraId="00AB94F6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0D3B82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54C5197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BE2C1C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Diachronic Reconstruction of Occupation Dynamics at Vinyes Grans (NE Iberia)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30EAC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 xml:space="preserve">Marina Zafra Granados; Josep Vallverdú; Amèlia </w:t>
            </w:r>
            <w:r>
              <w:rPr>
                <w:color w:val="303030"/>
                <w:sz w:val="16"/>
              </w:rPr>
              <w:t>Bargalló</w:t>
            </w:r>
          </w:p>
        </w:tc>
      </w:tr>
      <w:tr w:rsidR="00B46B66" w14:paraId="6F297B0F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7E4B7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522644E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36EF999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The Early Upper Palaeolithic in Northwest Iberia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36A46C4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Xosé Pedro Rodríguez; Iván Rey Rodríguez; Álvaro Ibáñez</w:t>
            </w:r>
          </w:p>
        </w:tc>
      </w:tr>
      <w:tr w:rsidR="00B46B66" w14:paraId="32E29450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562CE9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A9C05C4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960FA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Palaeoenvironment, Chronology and Material Culture of the Upper Palaeolithic Sequence at the Sopeña Rock Shelter (Onís, </w:t>
            </w:r>
            <w:r>
              <w:rPr>
                <w:color w:val="303030"/>
                <w:sz w:val="17"/>
              </w:rPr>
              <w:t>Asturias)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DE3AFF8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Florent Rivals; Manuel Vaquero</w:t>
            </w:r>
          </w:p>
        </w:tc>
      </w:tr>
      <w:tr w:rsidR="00B46B66" w14:paraId="3F700E8B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960850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6DC075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212EF2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New Insights on the Technological Changes Across the Middle-Upper Paleolithic Boundary in the Cantabrian Region (Northern Iberia)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6E3EE8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Manuel Vaquero; Susana Alonso</w:t>
            </w:r>
          </w:p>
        </w:tc>
      </w:tr>
      <w:tr w:rsidR="00B46B66" w14:paraId="5EA00AE0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8EAC72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1E823F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1B9EA3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Gaps, Continuities, and Formation </w:t>
            </w:r>
            <w:r>
              <w:rPr>
                <w:color w:val="303030"/>
                <w:sz w:val="17"/>
              </w:rPr>
              <w:t>Processes During the Early Upper Palaeolithic in the NE Iberian Peninsula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45C2910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Juan I. Morales; Diego Lombao; Mónica Fernández-García; Carolina Cucart-Mora; Juan Manuel López-García; Isabel Expósito; Ethel Allué</w:t>
            </w:r>
          </w:p>
        </w:tc>
      </w:tr>
      <w:tr w:rsidR="00B46B66" w14:paraId="19A09FCC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CCE18D4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99B549B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09A51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The Early Upper Palaeolithic Sequence of</w:t>
            </w:r>
            <w:r>
              <w:rPr>
                <w:color w:val="303030"/>
                <w:sz w:val="17"/>
              </w:rPr>
              <w:t xml:space="preserve"> Cova Gran de Santa Linya (South-Central Pyrenees, Spain)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810051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Javier Sánchez Martínez</w:t>
            </w:r>
          </w:p>
        </w:tc>
      </w:tr>
      <w:tr w:rsidR="00B46B66" w14:paraId="3386ECF5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21F1792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DD81A4D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675C2C8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Energy Flows and Fuel Management in Palaeolithic Societies: An Anthracological and Modelling Approach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BE3F1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Tomás Fernández-Iriarte; Ethel Allué</w:t>
            </w:r>
          </w:p>
        </w:tc>
      </w:tr>
      <w:tr w:rsidR="00B46B66" w14:paraId="1D085501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A3D5529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DF8DDC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614455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Late Neanderthal </w:t>
            </w:r>
            <w:r>
              <w:rPr>
                <w:color w:val="303030"/>
                <w:sz w:val="17"/>
              </w:rPr>
              <w:t>Lithic Technology at Grotta della Ghiacciaia (Fumane, Italy): New Evidence from the Southern Prealps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187425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Gloria Cattabriga</w:t>
            </w:r>
          </w:p>
        </w:tc>
      </w:tr>
      <w:tr w:rsidR="00B46B66" w14:paraId="3742C2EA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B1BB9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4765A7C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7A1D9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Fire-Biomarkers: New Protocol for Identifying Anthropogenic Fire in Middle Pleistocene Sediment Samples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CDFBD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Aitor Burguet-Coca</w:t>
            </w:r>
          </w:p>
        </w:tc>
      </w:tr>
      <w:tr w:rsidR="00B46B66" w14:paraId="50E93469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3C6F1D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47F78C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499B4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The Middle Palaeolithic Pyroarchaeological Record of la Roca dels Bous (NE Iberia)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7D6A79F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Aitor Burguet-Coca; Ethel Allué; Isabel Expósito; Paula Casajoanes-García</w:t>
            </w:r>
          </w:p>
        </w:tc>
      </w:tr>
      <w:tr w:rsidR="00B46B66" w14:paraId="5C2FD7C3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D8C7C15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810699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DE6F4A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Coming Back to the Schöningen 12 II-4 Bone Industry: Insights from the Quantification</w:t>
            </w:r>
            <w:r>
              <w:rPr>
                <w:color w:val="303030"/>
                <w:sz w:val="17"/>
              </w:rPr>
              <w:t xml:space="preserve"> of Worn Surfaces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045433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Paula Mateo-Lomba</w:t>
            </w:r>
          </w:p>
        </w:tc>
      </w:tr>
      <w:tr w:rsidR="00B46B66" w14:paraId="5C052896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49435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AA4DA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71FE12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A New Perspective for the Western Acheulean: Patterns, Variability, </w:t>
            </w:r>
            <w:r>
              <w:rPr>
                <w:color w:val="303030"/>
                <w:sz w:val="17"/>
              </w:rPr>
              <w:t>and Asian Comparisons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32CE2C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Paula García-Medrano</w:t>
            </w:r>
          </w:p>
        </w:tc>
      </w:tr>
      <w:tr w:rsidR="00B46B66" w14:paraId="7947C58B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F2EE17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EA4BBE7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0C954B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From Paper to Magnifying Lens: Re-Evaluating the Bone Industry Typological Paradigm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6C33151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Miguel Subires de Mérida</w:t>
            </w:r>
          </w:p>
        </w:tc>
      </w:tr>
      <w:tr w:rsidR="00B46B66" w14:paraId="4DB5FF0E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724C86" w14:textId="77777777" w:rsidR="00B46B66" w:rsidRDefault="00703E9D" w:rsidP="005A5AD8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8EE813B" w14:textId="77777777" w:rsidR="00B46B66" w:rsidRDefault="00703E9D" w:rsidP="005A5AD8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0E07206" w14:textId="77777777" w:rsidR="00B46B66" w:rsidRDefault="00703E9D" w:rsidP="005A5AD8">
            <w:pPr>
              <w:spacing w:after="0" w:line="240" w:lineRule="auto"/>
            </w:pPr>
            <w:r>
              <w:rPr>
                <w:color w:val="303030"/>
                <w:sz w:val="17"/>
              </w:rPr>
              <w:t>Approaching Retouched Tools Taxonomies: Lessons from Geometric Morphometrics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D8335DC" w14:textId="77777777" w:rsidR="00B46B66" w:rsidRDefault="00703E9D" w:rsidP="005A5AD8">
            <w:pPr>
              <w:spacing w:after="0" w:line="240" w:lineRule="auto"/>
            </w:pPr>
            <w:r>
              <w:rPr>
                <w:color w:val="303030"/>
                <w:sz w:val="16"/>
              </w:rPr>
              <w:t>Guillermo</w:t>
            </w:r>
            <w:r>
              <w:rPr>
                <w:color w:val="303030"/>
                <w:sz w:val="16"/>
              </w:rPr>
              <w:t xml:space="preserve"> Bustos-Pérez</w:t>
            </w:r>
          </w:p>
        </w:tc>
      </w:tr>
      <w:tr w:rsidR="00B46B66" w14:paraId="672DCB23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A06968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9C975BC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0B68C15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Human Occupation and Cultural Dynamics at Guenfouda Cave (Eastern Morocco): Evidence from the Middle Paleolithic to the Neolithic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628D2D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Moura</w:t>
            </w:r>
            <w:bookmarkStart w:id="0" w:name="_GoBack"/>
            <w:bookmarkEnd w:id="0"/>
            <w:r>
              <w:rPr>
                <w:color w:val="303030"/>
                <w:sz w:val="16"/>
              </w:rPr>
              <w:t>d Farkouch</w:t>
            </w:r>
          </w:p>
        </w:tc>
      </w:tr>
      <w:tr w:rsidR="00B46B66" w14:paraId="5327A533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D6E4A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lastRenderedPageBreak/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90F3DA0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8BC043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Traceological Evidence of Modern Human Behavioral Variety in Chinese Late </w:t>
            </w:r>
            <w:r>
              <w:rPr>
                <w:color w:val="303030"/>
                <w:sz w:val="17"/>
              </w:rPr>
              <w:t>Middle and Late Pleistocene Sites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FB34D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Andreu Ollé; Juan Luis Fernández-Marchena; Görkem Cenk Yeşilova</w:t>
            </w:r>
          </w:p>
        </w:tc>
      </w:tr>
      <w:tr w:rsidR="00B46B66" w14:paraId="0FDCAC36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2F9881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E6D025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6CBE39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From Experimental to Didactic: Understanding and Teaching the Past by Re-Enactment in the Present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6E73B5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Deborah Barsky</w:t>
            </w:r>
          </w:p>
        </w:tc>
      </w:tr>
      <w:tr w:rsidR="00B46B66" w14:paraId="22E91A77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FC7562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D40FB6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0F93ABF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Beyond the Coastal </w:t>
            </w:r>
            <w:r>
              <w:rPr>
                <w:color w:val="303030"/>
                <w:sz w:val="17"/>
              </w:rPr>
              <w:t>Corridor: New Radiocarbon Evidence for the Early Upper Palaeolithic at Cova de la Font Major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44F57D2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Juan I. Morales; Josep Maria Vergès; Míriam Salas-Altès; Marcos García-Díez</w:t>
            </w:r>
          </w:p>
        </w:tc>
      </w:tr>
      <w:tr w:rsidR="00B46B66" w14:paraId="60FF65C7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A8F9F4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48A04B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DE3E315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Describing the Activities Carried Out by the Upper Paleolithic Groups during </w:t>
            </w:r>
            <w:r>
              <w:rPr>
                <w:color w:val="303030"/>
                <w:sz w:val="17"/>
              </w:rPr>
              <w:t>Their Short Occupations of Cova Foradada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8B671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Andreu Ollé; Juan I. Morales; Juan Luis Fernández-Marchena</w:t>
            </w:r>
          </w:p>
        </w:tc>
      </w:tr>
      <w:tr w:rsidR="00B46B66" w14:paraId="606D3A4D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0F05D82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0401260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0DD80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Sequential Tool Use and the Emergence of Technological Organisation: Experimental Insights into Early Cultural Evolution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252E47" w14:textId="5DDEEB0F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Saray Pascual-Moliner</w:t>
            </w:r>
            <w:r w:rsidR="005A5AD8">
              <w:rPr>
                <w:color w:val="303030"/>
                <w:sz w:val="16"/>
              </w:rPr>
              <w:t>, Paula García-Medrano</w:t>
            </w:r>
          </w:p>
        </w:tc>
      </w:tr>
      <w:tr w:rsidR="00B46B66" w14:paraId="3A08FCA8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627403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098157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4B3AFCF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Characterizing the Palaeoecological Record of the Middle-to-Upper Palaeolithic Transition in NE Iberia: Cova Foradada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C6C83C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Mónica Fernández-García; Ethel Allué; Isabel Expósito; Juan Manuel López-García; Juan I. Morales</w:t>
            </w:r>
          </w:p>
        </w:tc>
      </w:tr>
      <w:tr w:rsidR="00B46B66" w14:paraId="287A2FD5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5D180D1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4785D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FE6D150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Carnivore Remains at Sima del Elefante Site: Insights into Accumulation Processes in Cave Environments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4F8D118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Maria Boada; Rosa Huguet</w:t>
            </w:r>
          </w:p>
        </w:tc>
      </w:tr>
      <w:tr w:rsidR="00B46B66" w14:paraId="5090F523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289B500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7F1AACD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D32403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Faunal Refits and Site Formation Processes: A Plea for Reproducible Methods and Structured Open Data Publication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D6F56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 xml:space="preserve">Maria </w:t>
            </w:r>
            <w:r>
              <w:rPr>
                <w:color w:val="303030"/>
                <w:sz w:val="16"/>
              </w:rPr>
              <w:t>Joana Gabucio</w:t>
            </w:r>
          </w:p>
        </w:tc>
      </w:tr>
      <w:tr w:rsidR="00B46B66" w14:paraId="1B794664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4192A90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482B0E7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4C9588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Neanderthal Occupation Duration in Cave Contexts: A Multi-Proxy Analysis of Faunal Assemblages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56C968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Anna Rufà; Ruth Blasco; Florent Rivals; Jordi Rosell</w:t>
            </w:r>
          </w:p>
        </w:tc>
      </w:tr>
      <w:tr w:rsidR="00B46B66" w14:paraId="230C6EEF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68E393B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9364A2C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C86D99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Unraveling Cave Bear Palaeoecology through Dental Evidence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E216AD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 xml:space="preserve">Iván </w:t>
            </w:r>
            <w:r>
              <w:rPr>
                <w:color w:val="303030"/>
                <w:sz w:val="16"/>
              </w:rPr>
              <w:t>Ramírez-Pedraza; Florent Rivals</w:t>
            </w:r>
          </w:p>
        </w:tc>
      </w:tr>
      <w:tr w:rsidR="00B46B66" w14:paraId="57D34801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087C79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39C09E4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4346B29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Occupation Dynamics and Competition in the Middle Pleistocene: The Palimpsest of Subunit TD10.3 at Gran Dolina (Atapuerca, Spain)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FFDD2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Javier Villalobos; Antonio Rodríguez-Hidalgo; Palmira Saladié</w:t>
            </w:r>
          </w:p>
        </w:tc>
      </w:tr>
      <w:tr w:rsidR="00B46B66" w14:paraId="53FE6E5E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7E225B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4F8EEA7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CE83E3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People, </w:t>
            </w:r>
            <w:r>
              <w:rPr>
                <w:color w:val="303030"/>
                <w:sz w:val="17"/>
              </w:rPr>
              <w:t>Practices, and Resource Landscapes: Chert Exploitation, Geoarchaeology and Reference Frameworks in Northeastern Iberia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4A834C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Bruno Gómez de Soler</w:t>
            </w:r>
          </w:p>
        </w:tc>
      </w:tr>
      <w:tr w:rsidR="00B46B66" w14:paraId="3EDA88FC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DCFA71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280A94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CEAD5A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Transmission Fidelity of Complex Knapping Skills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813E8E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Amèlia Bargalló; Gloria Cattabriga</w:t>
            </w:r>
          </w:p>
        </w:tc>
      </w:tr>
      <w:tr w:rsidR="00B46B66" w14:paraId="0E8CE700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0C605A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7D4F81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03F862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Diachronic </w:t>
            </w:r>
            <w:r>
              <w:rPr>
                <w:color w:val="303030"/>
                <w:sz w:val="17"/>
              </w:rPr>
              <w:t>Variability and Cognitive Implications of Large Cutting Tools in TD10, Gran Dolina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00AEF59" w14:textId="65607BA5" w:rsidR="00B46B66" w:rsidRDefault="005A5AD8">
            <w:pPr>
              <w:spacing w:after="0" w:line="240" w:lineRule="auto"/>
            </w:pPr>
            <w:r>
              <w:rPr>
                <w:color w:val="303030"/>
                <w:sz w:val="16"/>
              </w:rPr>
              <w:t>Paula García-Medrano, Andreu Ollé</w:t>
            </w:r>
          </w:p>
        </w:tc>
      </w:tr>
      <w:tr w:rsidR="00B46B66" w14:paraId="61F1EFEA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E86B14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4BFF89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E96DF39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In the Footsteps of Bamboo: A Functional Approach Under a Magnificent Lens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CFE46E1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Xosé Pedro Rodríguez</w:t>
            </w:r>
          </w:p>
        </w:tc>
      </w:tr>
      <w:tr w:rsidR="00B46B66" w14:paraId="71348171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98DDD7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27608ED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5415F1D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Hunting Intensity and </w:t>
            </w:r>
            <w:r>
              <w:rPr>
                <w:color w:val="303030"/>
                <w:sz w:val="17"/>
              </w:rPr>
              <w:t>Seasonality Across the Early Upper Paleolithic of Manot Cave, Israel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7EAAE7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Florent Rivals</w:t>
            </w:r>
          </w:p>
        </w:tc>
      </w:tr>
      <w:tr w:rsidR="00B46B66" w14:paraId="47D4009D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656C750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28F3E5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217C00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Tracing Enamel Formation and Diet in Juvenile Woolly Mammoths through Enamel Histology and Wear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F9EBD61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Florent Rivals</w:t>
            </w:r>
          </w:p>
        </w:tc>
      </w:tr>
      <w:tr w:rsidR="00B46B66" w14:paraId="1A03D6D6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2860BA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713834E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2A128F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Early Middle Paleolithic Retouched and </w:t>
            </w:r>
            <w:r>
              <w:rPr>
                <w:color w:val="303030"/>
                <w:sz w:val="17"/>
              </w:rPr>
              <w:t>Unretouched Lithic Tools from Coupe-Gorge (Montmaurin, France): First Approach Combining Techno-Functional and Use-Wear Analysis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AD7F9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Andreu Ollé</w:t>
            </w:r>
          </w:p>
        </w:tc>
      </w:tr>
      <w:tr w:rsidR="00B46B66" w14:paraId="2443091A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559E92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FB0FDD1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405E5F0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Integrating Subsistence Behaviour and Raw Material Procurement in a Short-Term Middle Palaeolithic </w:t>
            </w:r>
            <w:r>
              <w:rPr>
                <w:color w:val="303030"/>
                <w:sz w:val="17"/>
              </w:rPr>
              <w:t>Occupation at Abric Romaní Level 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152E5B4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Bruno Gómez de Soler; Amèlia Bargalló; Palmira Saladié; M. Gema Chacón</w:t>
            </w:r>
          </w:p>
        </w:tc>
      </w:tr>
      <w:tr w:rsidR="00B46B66" w14:paraId="6393308B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AC0F4B3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785118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DCBC5EE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Energy Use and Firewood-Related Practices among Paleolithic Hunter-Gatherers from Western Europe to Central Asia (PALFUEL)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D752ED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 xml:space="preserve">Ethel Allué; </w:t>
            </w:r>
            <w:r>
              <w:rPr>
                <w:color w:val="303030"/>
                <w:sz w:val="16"/>
              </w:rPr>
              <w:t>Andrés Robledo; Tomás Fernández-Iriarte; Maria Joana Gabucio</w:t>
            </w:r>
          </w:p>
        </w:tc>
      </w:tr>
      <w:tr w:rsidR="00B46B66" w14:paraId="7D35A16E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BA2C0D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138A340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4DB8E64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Stratified MSA Horizons in Equatorial Guinea: Results from Campo 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F2586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Juan I. Morales</w:t>
            </w:r>
          </w:p>
        </w:tc>
      </w:tr>
      <w:tr w:rsidR="00B46B66" w14:paraId="049FAFE0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D7F0681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D293AFC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1C8B143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Neanderthal Subsistence and Landscape Exploitation During MIS4 in Iberia: New </w:t>
            </w:r>
            <w:r>
              <w:rPr>
                <w:color w:val="303030"/>
                <w:sz w:val="17"/>
              </w:rPr>
              <w:t>Methodological Approaches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B45176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Mónica Fernández-García; Juan I. Morales; Diego Lombao</w:t>
            </w:r>
          </w:p>
        </w:tc>
      </w:tr>
      <w:tr w:rsidR="00B46B66" w14:paraId="1E90E07A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D2AD599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F515BBF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F399052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Visibility or Efficiency: Modeling MSA Homo sapiens Mobilities in the Aïn Beni Mathar–Guefaït Region, Eastern Morocco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E625CD9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 xml:space="preserve">Juan I. Morales; Diego Lombao; Antoni Canals; </w:t>
            </w:r>
            <w:r>
              <w:rPr>
                <w:color w:val="303030"/>
                <w:sz w:val="16"/>
              </w:rPr>
              <w:t>Robert Sala; M. Gema Chacón</w:t>
            </w:r>
          </w:p>
        </w:tc>
      </w:tr>
      <w:tr w:rsidR="00B46B66" w14:paraId="44A5A2C0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70074AC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788C7D9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678FBF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Cave of Armintxe I (Basque Country, Spain): An Interdisciplinary Approach to Explore, Study and Preserve Rock Art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0269E7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Diego López-Onaindia; Míriam Salas-Altès</w:t>
            </w:r>
          </w:p>
        </w:tc>
      </w:tr>
      <w:tr w:rsidR="00B46B66" w14:paraId="779D751E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16185CE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lastRenderedPageBreak/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556F273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9FEB9C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Solving the Lezetxiki Puzzle (Basque Country, </w:t>
            </w:r>
            <w:r>
              <w:rPr>
                <w:color w:val="303030"/>
                <w:sz w:val="17"/>
              </w:rPr>
              <w:t>Northern Iberia). The Secondary Locus of Lezetxiki II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91EA49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Josep Vallverdú</w:t>
            </w:r>
          </w:p>
        </w:tc>
      </w:tr>
      <w:tr w:rsidR="00B46B66" w14:paraId="2B2E26F0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A3038C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ECBF13D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Poster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0F2BA34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A Systematic-Synthesis Assessing the Impact of Changing Climatic Conditions on Fire Use Adaptations Across Upper Paleolithic Europe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ADE3F4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Javier Sánchez Martínez</w:t>
            </w:r>
          </w:p>
        </w:tc>
      </w:tr>
      <w:tr w:rsidR="00B46B66" w14:paraId="72C92505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4989C1B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DA98643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9072A2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Integrating Dental Wear Proxies to Reconstruct Seasonality and Human–Environment Interactions During the Middle and Late Pleistocene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8A96D5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Florent Rivals</w:t>
            </w:r>
          </w:p>
        </w:tc>
      </w:tr>
      <w:tr w:rsidR="00B46B66" w14:paraId="616D4CC1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9E2123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269F9FB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6A7E9D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 xml:space="preserve">Mobility, Distance and Technological Organization During the Final Magdalenian: Insights from Molí </w:t>
            </w:r>
            <w:r>
              <w:rPr>
                <w:color w:val="303030"/>
                <w:sz w:val="17"/>
              </w:rPr>
              <w:t>del Salt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shd w:val="clear" w:color="auto" w:fill="F7F5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2C3179B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Irene González-Molina; Bruno Gómez de Soler; Susana Alonso; Manuel Vaquero</w:t>
            </w:r>
          </w:p>
        </w:tc>
      </w:tr>
      <w:tr w:rsidR="00B46B66" w14:paraId="4FC5CD21" w14:textId="77777777">
        <w:trPr>
          <w:cantSplit/>
          <w:jc w:val="center"/>
        </w:trPr>
        <w:tc>
          <w:tcPr>
            <w:tcW w:w="45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92671D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2EA03E6" w14:textId="77777777" w:rsidR="00B46B66" w:rsidRDefault="00703E9D">
            <w:pPr>
              <w:spacing w:after="0" w:line="240" w:lineRule="auto"/>
              <w:jc w:val="center"/>
            </w:pPr>
            <w:r>
              <w:rPr>
                <w:color w:val="303030"/>
                <w:sz w:val="16"/>
              </w:rPr>
              <w:t>Oral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6A44A46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7"/>
              </w:rPr>
              <w:t>Core Reduction and Technological Variability at Gona, Ethiopia (2.6–1.5 Ma): A 3D Morphometric Study of Oldowan Assemblages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3" w:space="0" w:color="DDD8D2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7C2305A" w14:textId="77777777" w:rsidR="00B46B66" w:rsidRDefault="00703E9D">
            <w:pPr>
              <w:spacing w:after="0" w:line="240" w:lineRule="auto"/>
            </w:pPr>
            <w:r>
              <w:rPr>
                <w:color w:val="303030"/>
                <w:sz w:val="16"/>
              </w:rPr>
              <w:t>Paula García-Medrano</w:t>
            </w:r>
          </w:p>
        </w:tc>
      </w:tr>
    </w:tbl>
    <w:p w14:paraId="725B3C0F" w14:textId="77777777" w:rsidR="00B46B66" w:rsidRDefault="00703E9D">
      <w:pPr>
        <w:spacing w:before="120" w:after="0"/>
      </w:pPr>
      <w:r>
        <w:rPr>
          <w:i/>
          <w:color w:val="787878"/>
          <w:sz w:val="15"/>
        </w:rPr>
        <w:t xml:space="preserve">Source: official </w:t>
      </w:r>
      <w:r>
        <w:rPr>
          <w:i/>
          <w:color w:val="787878"/>
          <w:sz w:val="15"/>
        </w:rPr>
        <w:t>UISPP 2026 Book of Abstracts; institutional affiliation review by IPHES-CERCA.</w:t>
      </w:r>
    </w:p>
    <w:sectPr w:rsidR="00B46B66" w:rsidSect="00034616">
      <w:footerReference w:type="default" r:id="rId9"/>
      <w:pgSz w:w="16838" w:h="11906" w:orient="landscape"/>
      <w:pgMar w:top="709" w:right="680" w:bottom="680" w:left="680" w:header="283" w:footer="283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8ACF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BE5DAA" w16cex:dateUtc="2026-09-10T0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8ACF0B" w16cid:durableId="1CBE5DAA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10CB94" w14:textId="77777777" w:rsidR="00AF45FB" w:rsidRDefault="00AF45FB">
      <w:pPr>
        <w:spacing w:after="0" w:line="240" w:lineRule="auto"/>
      </w:pPr>
      <w:r>
        <w:separator/>
      </w:r>
    </w:p>
  </w:endnote>
  <w:endnote w:type="continuationSeparator" w:id="0">
    <w:p w14:paraId="2C149380" w14:textId="77777777" w:rsidR="00AF45FB" w:rsidRDefault="00AF4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F52C8" w14:textId="77777777" w:rsidR="00B46B66" w:rsidRDefault="00703E9D">
    <w:pPr>
      <w:pStyle w:val="Piedepgina"/>
      <w:jc w:val="right"/>
    </w:pPr>
    <w:r>
      <w:rPr>
        <w:color w:val="7D7D7D"/>
        <w:sz w:val="15"/>
      </w:rPr>
      <w:t xml:space="preserve">IPHES-CERCA · UISPP 2026  | 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ABD2D3" w14:textId="77777777" w:rsidR="00AF45FB" w:rsidRDefault="00AF45FB">
      <w:pPr>
        <w:spacing w:after="0" w:line="240" w:lineRule="auto"/>
      </w:pPr>
      <w:r>
        <w:separator/>
      </w:r>
    </w:p>
  </w:footnote>
  <w:footnote w:type="continuationSeparator" w:id="0">
    <w:p w14:paraId="4EC66261" w14:textId="77777777" w:rsidR="00AF45FB" w:rsidRDefault="00AF4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u Ollé Cañellas">
    <w15:presenceInfo w15:providerId="Windows Live" w15:userId="4481dfb177aa46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7C7C"/>
    <w:rsid w:val="005A5AD8"/>
    <w:rsid w:val="006D29D0"/>
    <w:rsid w:val="00703E9D"/>
    <w:rsid w:val="00AA1D8D"/>
    <w:rsid w:val="00AF45FB"/>
    <w:rsid w:val="00B46B6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B74B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decuerpo">
    <w:name w:val="Body Text"/>
    <w:basedOn w:val="Normal"/>
    <w:link w:val="TextodecuerpoCar"/>
    <w:uiPriority w:val="99"/>
    <w:unhideWhenUsed/>
    <w:rsid w:val="00AA1D8D"/>
    <w:pPr>
      <w:spacing w:after="120"/>
    </w:pPr>
  </w:style>
  <w:style w:type="character" w:customStyle="1" w:styleId="TextodecuerpoCar">
    <w:name w:val="Texto de cuerpo Car"/>
    <w:basedOn w:val="Fuentedeprrafopredeter"/>
    <w:link w:val="Textodecuerpo"/>
    <w:uiPriority w:val="99"/>
    <w:rsid w:val="00AA1D8D"/>
  </w:style>
  <w:style w:type="paragraph" w:styleId="Textodecuerpo2">
    <w:name w:val="Body Text 2"/>
    <w:basedOn w:val="Normal"/>
    <w:link w:val="Textodecuerpo2Car"/>
    <w:uiPriority w:val="99"/>
    <w:unhideWhenUsed/>
    <w:rsid w:val="00AA1D8D"/>
    <w:pPr>
      <w:spacing w:after="120" w:line="480" w:lineRule="auto"/>
    </w:pPr>
  </w:style>
  <w:style w:type="character" w:customStyle="1" w:styleId="Textodecuerpo2Car">
    <w:name w:val="Texto de cuerpo 2 Car"/>
    <w:basedOn w:val="Fuentedeprrafopredeter"/>
    <w:link w:val="Textodecuerpo2"/>
    <w:uiPriority w:val="99"/>
    <w:rsid w:val="00AA1D8D"/>
  </w:style>
  <w:style w:type="paragraph" w:styleId="Textodecuerpo3">
    <w:name w:val="Body Text 3"/>
    <w:basedOn w:val="Normal"/>
    <w:link w:val="Textodecuerpo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decuerpo3Car">
    <w:name w:val="Texto de cuerpo 3 Car"/>
    <w:basedOn w:val="Fuentedeprrafopredeter"/>
    <w:link w:val="Textodecuerp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Enfasis">
    <w:name w:val="Emphasis"/>
    <w:basedOn w:val="Fuentedeprrafopredeter"/>
    <w:uiPriority w:val="20"/>
    <w:qFormat/>
    <w:rsid w:val="00FC693F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Fuentedeprrafopredeter"/>
    <w:link w:val="Citaintens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an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n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n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n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n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n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n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n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n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n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n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n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n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n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n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n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n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n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n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n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n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n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n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multicolor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ulticolor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multicolor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multicolor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multicolor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multicolor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multicolor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multicolor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ulticolor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multicolor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ulticolor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ulticolor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ulticolor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ulticolor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ulticolor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ulticolor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n">
    <w:name w:val="Revision"/>
    <w:hidden/>
    <w:uiPriority w:val="99"/>
    <w:semiHidden/>
    <w:rsid w:val="005A5AD8"/>
    <w:pPr>
      <w:spacing w:after="0" w:line="240" w:lineRule="auto"/>
    </w:pPr>
    <w:rPr>
      <w:rFonts w:ascii="Aptos" w:eastAsia="Aptos" w:hAnsi="Aptos"/>
      <w:sz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5A5A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A5A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A5AD8"/>
    <w:rPr>
      <w:rFonts w:ascii="Aptos" w:eastAsia="Aptos" w:hAnsi="Aptos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5A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5AD8"/>
    <w:rPr>
      <w:rFonts w:ascii="Aptos" w:eastAsia="Aptos" w:hAnsi="Aptos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3E9D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E9D"/>
    <w:rPr>
      <w:rFonts w:ascii="Lucida Grande" w:eastAsia="Aptos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decuerpo">
    <w:name w:val="Body Text"/>
    <w:basedOn w:val="Normal"/>
    <w:link w:val="TextodecuerpoCar"/>
    <w:uiPriority w:val="99"/>
    <w:unhideWhenUsed/>
    <w:rsid w:val="00AA1D8D"/>
    <w:pPr>
      <w:spacing w:after="120"/>
    </w:pPr>
  </w:style>
  <w:style w:type="character" w:customStyle="1" w:styleId="TextodecuerpoCar">
    <w:name w:val="Texto de cuerpo Car"/>
    <w:basedOn w:val="Fuentedeprrafopredeter"/>
    <w:link w:val="Textodecuerpo"/>
    <w:uiPriority w:val="99"/>
    <w:rsid w:val="00AA1D8D"/>
  </w:style>
  <w:style w:type="paragraph" w:styleId="Textodecuerpo2">
    <w:name w:val="Body Text 2"/>
    <w:basedOn w:val="Normal"/>
    <w:link w:val="Textodecuerpo2Car"/>
    <w:uiPriority w:val="99"/>
    <w:unhideWhenUsed/>
    <w:rsid w:val="00AA1D8D"/>
    <w:pPr>
      <w:spacing w:after="120" w:line="480" w:lineRule="auto"/>
    </w:pPr>
  </w:style>
  <w:style w:type="character" w:customStyle="1" w:styleId="Textodecuerpo2Car">
    <w:name w:val="Texto de cuerpo 2 Car"/>
    <w:basedOn w:val="Fuentedeprrafopredeter"/>
    <w:link w:val="Textodecuerpo2"/>
    <w:uiPriority w:val="99"/>
    <w:rsid w:val="00AA1D8D"/>
  </w:style>
  <w:style w:type="paragraph" w:styleId="Textodecuerpo3">
    <w:name w:val="Body Text 3"/>
    <w:basedOn w:val="Normal"/>
    <w:link w:val="Textodecuerpo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decuerpo3Car">
    <w:name w:val="Texto de cuerpo 3 Car"/>
    <w:basedOn w:val="Fuentedeprrafopredeter"/>
    <w:link w:val="Textodecuerp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Enfasis">
    <w:name w:val="Emphasis"/>
    <w:basedOn w:val="Fuentedeprrafopredeter"/>
    <w:uiPriority w:val="20"/>
    <w:qFormat/>
    <w:rsid w:val="00FC693F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Fuentedeprrafopredeter"/>
    <w:link w:val="Citaintens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an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an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n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n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n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n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n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n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n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n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n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n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n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n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n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n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n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n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n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n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n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n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n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n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n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n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multicolor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ulticolor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multicolor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multicolor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multicolor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multicolor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multicolor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multicolor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multicolor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ulticolor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multicolor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ulticolor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ulticolor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ulticolor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ulticolor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ulticolor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ulticolor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n">
    <w:name w:val="Revision"/>
    <w:hidden/>
    <w:uiPriority w:val="99"/>
    <w:semiHidden/>
    <w:rsid w:val="005A5AD8"/>
    <w:pPr>
      <w:spacing w:after="0" w:line="240" w:lineRule="auto"/>
    </w:pPr>
    <w:rPr>
      <w:rFonts w:ascii="Aptos" w:eastAsia="Aptos" w:hAnsi="Aptos"/>
      <w:sz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5A5A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A5A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A5AD8"/>
    <w:rPr>
      <w:rFonts w:ascii="Aptos" w:eastAsia="Aptos" w:hAnsi="Aptos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5A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5AD8"/>
    <w:rPr>
      <w:rFonts w:ascii="Aptos" w:eastAsia="Aptos" w:hAnsi="Aptos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3E9D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E9D"/>
    <w:rPr>
      <w:rFonts w:ascii="Lucida Grande" w:eastAsia="Aptos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8/08/relationships/commentsExtensible" Target="commentsExtensible.xml"/><Relationship Id="rId14" Type="http://schemas.microsoft.com/office/2011/relationships/people" Target="people.xml"/><Relationship Id="rId15" Type="http://schemas.microsoft.com/office/2011/relationships/commentsExtended" Target="commentsExtended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5BEA7F-552B-DC4F-AEBC-DE0C1043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1235</Words>
  <Characters>6797</Characters>
  <Application>Microsoft Macintosh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Gerard Campeny Vall-llosera</cp:lastModifiedBy>
  <cp:revision>4</cp:revision>
  <dcterms:created xsi:type="dcterms:W3CDTF">2026-09-10T08:56:00Z</dcterms:created>
  <dcterms:modified xsi:type="dcterms:W3CDTF">2026-09-10T16:51:00Z</dcterms:modified>
  <cp:category/>
</cp:coreProperties>
</file>