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9447" w14:textId="77777777" w:rsidR="00801587" w:rsidRDefault="00801587">
      <w:pPr>
        <w:pBdr>
          <w:top w:val="nil"/>
          <w:left w:val="nil"/>
          <w:bottom w:val="nil"/>
          <w:right w:val="nil"/>
          <w:between w:val="nil"/>
        </w:pBdr>
        <w:jc w:val="both"/>
        <w:rPr>
          <w:rFonts w:ascii="Arial" w:eastAsia="Arial" w:hAnsi="Arial" w:cs="Arial"/>
          <w:b/>
          <w:color w:val="000000"/>
          <w:sz w:val="28"/>
          <w:szCs w:val="28"/>
        </w:rPr>
      </w:pPr>
      <w:bookmarkStart w:id="0" w:name="_heading=h.gjdgxs" w:colFirst="0" w:colLast="0"/>
      <w:bookmarkEnd w:id="0"/>
    </w:p>
    <w:p w14:paraId="6AEB5556" w14:textId="77777777" w:rsidR="00801587" w:rsidRDefault="004C2919">
      <w:pPr>
        <w:pBdr>
          <w:top w:val="nil"/>
          <w:left w:val="nil"/>
          <w:bottom w:val="nil"/>
          <w:right w:val="nil"/>
          <w:between w:val="nil"/>
        </w:pBdr>
        <w:jc w:val="both"/>
        <w:rPr>
          <w:rFonts w:ascii="Arial" w:eastAsia="Arial" w:hAnsi="Arial" w:cs="Arial"/>
          <w:b/>
          <w:color w:val="C48489"/>
          <w:sz w:val="40"/>
          <w:szCs w:val="40"/>
        </w:rPr>
      </w:pPr>
      <w:r>
        <w:rPr>
          <w:rFonts w:ascii="Arial" w:eastAsia="Arial" w:hAnsi="Arial" w:cs="Arial"/>
          <w:b/>
          <w:color w:val="C48489"/>
          <w:sz w:val="40"/>
          <w:szCs w:val="40"/>
        </w:rPr>
        <w:t>L’aplicació de tècniques avançades de computació revoluciona l’estudi de fractures cranials en arqueologia</w:t>
      </w:r>
    </w:p>
    <w:p w14:paraId="6135B3A9" w14:textId="77777777" w:rsidR="00801587" w:rsidRDefault="00801587">
      <w:pPr>
        <w:pBdr>
          <w:top w:val="nil"/>
          <w:left w:val="nil"/>
          <w:bottom w:val="nil"/>
          <w:right w:val="nil"/>
          <w:between w:val="nil"/>
        </w:pBdr>
        <w:jc w:val="both"/>
        <w:rPr>
          <w:rFonts w:ascii="Arial" w:eastAsia="Arial" w:hAnsi="Arial" w:cs="Arial"/>
          <w:b/>
          <w:color w:val="C48489"/>
          <w:sz w:val="40"/>
          <w:szCs w:val="40"/>
        </w:rPr>
      </w:pPr>
    </w:p>
    <w:p w14:paraId="643A3821" w14:textId="77777777" w:rsidR="00801587" w:rsidRDefault="004C2919">
      <w:pPr>
        <w:pBdr>
          <w:top w:val="nil"/>
          <w:left w:val="nil"/>
          <w:bottom w:val="nil"/>
          <w:right w:val="nil"/>
          <w:between w:val="nil"/>
        </w:pBdr>
        <w:jc w:val="both"/>
        <w:rPr>
          <w:rFonts w:ascii="Arial" w:eastAsia="Arial" w:hAnsi="Arial" w:cs="Arial"/>
          <w:b/>
          <w:i/>
          <w:color w:val="000000"/>
          <w:sz w:val="28"/>
          <w:szCs w:val="28"/>
        </w:rPr>
      </w:pPr>
      <w:r>
        <w:rPr>
          <w:rFonts w:ascii="Arial" w:eastAsia="Arial" w:hAnsi="Arial" w:cs="Arial"/>
          <w:b/>
          <w:color w:val="000000"/>
          <w:sz w:val="28"/>
          <w:szCs w:val="28"/>
        </w:rPr>
        <w:t xml:space="preserve">La investigació, </w:t>
      </w:r>
      <w:r>
        <w:rPr>
          <w:rFonts w:ascii="Arial" w:eastAsia="Arial" w:hAnsi="Arial" w:cs="Arial"/>
          <w:b/>
          <w:sz w:val="28"/>
          <w:szCs w:val="28"/>
        </w:rPr>
        <w:t xml:space="preserve">publicada a la revista </w:t>
      </w:r>
      <w:r>
        <w:rPr>
          <w:rFonts w:ascii="Arial" w:eastAsia="Arial" w:hAnsi="Arial" w:cs="Arial"/>
          <w:b/>
          <w:i/>
          <w:sz w:val="28"/>
          <w:szCs w:val="28"/>
        </w:rPr>
        <w:t>Archaeological and Anthropological Scienc</w:t>
      </w:r>
      <w:hyperlink r:id="rId8">
        <w:r>
          <w:rPr>
            <w:rFonts w:ascii="Arial" w:eastAsia="Arial" w:hAnsi="Arial" w:cs="Arial"/>
            <w:b/>
            <w:i/>
            <w:color w:val="000000"/>
            <w:sz w:val="28"/>
            <w:szCs w:val="28"/>
          </w:rPr>
          <w:t>e</w:t>
        </w:r>
      </w:hyperlink>
      <w:r>
        <w:rPr>
          <w:rFonts w:ascii="Arial" w:eastAsia="Arial" w:hAnsi="Arial" w:cs="Arial"/>
          <w:b/>
          <w:i/>
          <w:color w:val="000000"/>
          <w:sz w:val="28"/>
          <w:szCs w:val="28"/>
        </w:rPr>
        <w:t>s,</w:t>
      </w:r>
      <w:r>
        <w:rPr>
          <w:rFonts w:ascii="Arial" w:eastAsia="Arial" w:hAnsi="Arial" w:cs="Arial"/>
          <w:b/>
          <w:color w:val="000000"/>
          <w:sz w:val="28"/>
          <w:szCs w:val="28"/>
        </w:rPr>
        <w:t xml:space="preserve"> obre noves possibilitats per analitzar restes òssies fragmentades en el registre arqueològic</w:t>
      </w:r>
    </w:p>
    <w:p w14:paraId="28882CBF" w14:textId="77777777" w:rsidR="00801587" w:rsidRDefault="00801587">
      <w:pPr>
        <w:pBdr>
          <w:top w:val="nil"/>
          <w:left w:val="nil"/>
          <w:bottom w:val="nil"/>
          <w:right w:val="nil"/>
          <w:between w:val="nil"/>
        </w:pBdr>
        <w:jc w:val="both"/>
        <w:rPr>
          <w:rFonts w:ascii="Arial" w:eastAsia="Arial" w:hAnsi="Arial" w:cs="Arial"/>
          <w:b/>
          <w:color w:val="000000"/>
          <w:sz w:val="28"/>
          <w:szCs w:val="28"/>
        </w:rPr>
      </w:pPr>
    </w:p>
    <w:p w14:paraId="0B295E4D" w14:textId="77777777" w:rsidR="00801587" w:rsidRDefault="004C2919">
      <w:pPr>
        <w:pBdr>
          <w:top w:val="nil"/>
          <w:left w:val="nil"/>
          <w:bottom w:val="nil"/>
          <w:right w:val="nil"/>
          <w:between w:val="nil"/>
        </w:pBdr>
        <w:jc w:val="both"/>
        <w:rPr>
          <w:rFonts w:ascii="Arial" w:eastAsia="Arial" w:hAnsi="Arial" w:cs="Arial"/>
          <w:sz w:val="24"/>
          <w:szCs w:val="24"/>
        </w:rPr>
      </w:pPr>
      <w:bookmarkStart w:id="1" w:name="_heading=h.30j0zll" w:colFirst="0" w:colLast="0"/>
      <w:bookmarkEnd w:id="1"/>
      <w:r>
        <w:rPr>
          <w:rFonts w:ascii="Arial" w:eastAsia="Arial" w:hAnsi="Arial" w:cs="Arial"/>
          <w:color w:val="B66E76"/>
          <w:sz w:val="24"/>
          <w:szCs w:val="24"/>
        </w:rPr>
        <w:t>Tarragona, 20</w:t>
      </w:r>
      <w:bookmarkStart w:id="2" w:name="_GoBack"/>
      <w:bookmarkEnd w:id="2"/>
      <w:r>
        <w:rPr>
          <w:rFonts w:ascii="Arial" w:eastAsia="Arial" w:hAnsi="Arial" w:cs="Arial"/>
          <w:color w:val="B66E76"/>
          <w:sz w:val="24"/>
          <w:szCs w:val="24"/>
        </w:rPr>
        <w:t xml:space="preserve"> de novembre de 2024.</w:t>
      </w:r>
      <w:r>
        <w:rPr>
          <w:rFonts w:ascii="Arial" w:eastAsia="Arial" w:hAnsi="Arial" w:cs="Arial"/>
          <w:sz w:val="24"/>
          <w:szCs w:val="24"/>
        </w:rPr>
        <w:t xml:space="preserve"> Un equip multidisciplinari ha desenvolupat una nova metodologia per analitzar fractures cranials humanes del passat. Aquesta investigació s’ha centrat en l’ús de tècniques avançades de computació per determinar si aquestes fractures són resultat de proces</w:t>
      </w:r>
      <w:r>
        <w:rPr>
          <w:rFonts w:ascii="Arial" w:eastAsia="Arial" w:hAnsi="Arial" w:cs="Arial"/>
          <w:sz w:val="24"/>
          <w:szCs w:val="24"/>
        </w:rPr>
        <w:t xml:space="preserve">sos naturals o d’intervencions humanes. L’estudi s’ha aplicat al cas del crani de Txispiri, un fragment cranial descobert a Gipuzkoa, amb l’objectiu de resoldre un debat històric sobre el seu origen i oferir noves eines per a l’anàlisi arqueològica. </w:t>
      </w:r>
    </w:p>
    <w:p w14:paraId="4D136B51" w14:textId="77777777" w:rsidR="00801587" w:rsidRDefault="004C2919">
      <w:pPr>
        <w:pBdr>
          <w:top w:val="nil"/>
          <w:left w:val="nil"/>
          <w:bottom w:val="nil"/>
          <w:right w:val="nil"/>
          <w:between w:val="nil"/>
        </w:pBdr>
        <w:jc w:val="both"/>
        <w:rPr>
          <w:rFonts w:ascii="Arial" w:eastAsia="Arial" w:hAnsi="Arial" w:cs="Arial"/>
          <w:sz w:val="24"/>
          <w:szCs w:val="24"/>
        </w:rPr>
      </w:pPr>
      <w:bookmarkStart w:id="3" w:name="_heading=h.1fob9te" w:colFirst="0" w:colLast="0"/>
      <w:bookmarkEnd w:id="3"/>
      <w:r>
        <w:rPr>
          <w:rFonts w:ascii="Arial" w:eastAsia="Arial" w:hAnsi="Arial" w:cs="Arial"/>
          <w:sz w:val="24"/>
          <w:szCs w:val="24"/>
        </w:rPr>
        <w:t>Aques</w:t>
      </w:r>
      <w:r>
        <w:rPr>
          <w:rFonts w:ascii="Arial" w:eastAsia="Arial" w:hAnsi="Arial" w:cs="Arial"/>
          <w:sz w:val="24"/>
          <w:szCs w:val="24"/>
        </w:rPr>
        <w:t xml:space="preserve">ta és la principal conclusió del treball publicat a la prestigiosa revista </w:t>
      </w:r>
      <w:hyperlink r:id="rId9">
        <w:r>
          <w:rPr>
            <w:rFonts w:ascii="Arial" w:eastAsia="Arial" w:hAnsi="Arial" w:cs="Arial"/>
            <w:i/>
            <w:color w:val="000000"/>
            <w:sz w:val="24"/>
            <w:szCs w:val="24"/>
            <w:u w:val="single"/>
          </w:rPr>
          <w:t>Archaeological and Anthropological Science</w:t>
        </w:r>
      </w:hyperlink>
      <w:r>
        <w:rPr>
          <w:rFonts w:ascii="Arial" w:eastAsia="Arial" w:hAnsi="Arial" w:cs="Arial"/>
          <w:sz w:val="24"/>
          <w:szCs w:val="24"/>
        </w:rPr>
        <w:t>s, en un treball liderat per Francesc Marginedas, investiga</w:t>
      </w:r>
      <w:r>
        <w:rPr>
          <w:rFonts w:ascii="Arial" w:eastAsia="Arial" w:hAnsi="Arial" w:cs="Arial"/>
          <w:sz w:val="24"/>
          <w:szCs w:val="24"/>
        </w:rPr>
        <w:t xml:space="preserve">dor predoctoral de l’IPHES-CERCA, en el qual hi han participat també </w:t>
      </w:r>
      <w:bookmarkStart w:id="4" w:name="bookmark=id.gjdgxs" w:colFirst="0" w:colLast="0"/>
      <w:bookmarkEnd w:id="4"/>
      <w:r>
        <w:rPr>
          <w:rFonts w:ascii="Arial" w:eastAsia="Arial" w:hAnsi="Arial" w:cs="Arial"/>
          <w:sz w:val="24"/>
          <w:szCs w:val="24"/>
        </w:rPr>
        <w:t>la Dra. Palmira Saladié, investigadora de l’IPHES-CERCA, el Dr. Antonio Rodríguez-Hidalgo, de l’Instituto de Arqueología-Mérida (CSIC-Junta de Extremadura) i investigador associat a l’IPH</w:t>
      </w:r>
      <w:r>
        <w:rPr>
          <w:rFonts w:ascii="Arial" w:eastAsia="Arial" w:hAnsi="Arial" w:cs="Arial"/>
          <w:sz w:val="24"/>
          <w:szCs w:val="24"/>
        </w:rPr>
        <w:t>ES-CERCA, el Dr. Abel Monclán del Institute of Human Evolution in Africa, la Dra. Miriam Cubas, de la Universidad de Alcalá i el Dr. Asier Gómez-Olivencia, de la Universidad del País Vasco.</w:t>
      </w:r>
      <w:bookmarkStart w:id="5" w:name="bookmark=id.30j0zll" w:colFirst="0" w:colLast="0"/>
      <w:bookmarkEnd w:id="5"/>
    </w:p>
    <w:p w14:paraId="7D08D6DE" w14:textId="77777777" w:rsidR="00801587" w:rsidRDefault="004C2919">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Un cas paradigmàtic: la calota de Txispiri</w:t>
      </w:r>
    </w:p>
    <w:p w14:paraId="5727F7AF"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La investigació s’ha ce</w:t>
      </w:r>
      <w:r>
        <w:rPr>
          <w:rFonts w:ascii="Arial" w:eastAsia="Arial" w:hAnsi="Arial" w:cs="Arial"/>
          <w:sz w:val="24"/>
          <w:szCs w:val="24"/>
        </w:rPr>
        <w:t xml:space="preserve">ntrat en la calota de Txispiri, un fragment cranial descobert a la cova funerària de Txispiri-Gaztelu (Gipuzkoa, País Basc), que inicialment es va considerar una copa cranial utilitzada en ritus funeraris o cerimònies religioses. Els </w:t>
      </w:r>
      <w:r>
        <w:rPr>
          <w:rFonts w:ascii="Arial" w:eastAsia="Arial" w:hAnsi="Arial" w:cs="Arial"/>
          <w:sz w:val="24"/>
          <w:szCs w:val="24"/>
        </w:rPr>
        <w:lastRenderedPageBreak/>
        <w:t>resultats d’aquesta re</w:t>
      </w:r>
      <w:r>
        <w:rPr>
          <w:rFonts w:ascii="Arial" w:eastAsia="Arial" w:hAnsi="Arial" w:cs="Arial"/>
          <w:sz w:val="24"/>
          <w:szCs w:val="24"/>
        </w:rPr>
        <w:t>cerca han demostrat que les fractures presents al fragment van ser causades per processos naturals postmortem i no tenen cap vincle amb manipulacions humanes, com s’havia proposat durant dècades.</w:t>
      </w:r>
    </w:p>
    <w:p w14:paraId="3355EA4A" w14:textId="77777777" w:rsidR="00801587" w:rsidRDefault="004C2919">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Innovació en l’anàlisi arqueològica</w:t>
      </w:r>
    </w:p>
    <w:p w14:paraId="0209DA13"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“El nostre estudi posa e</w:t>
      </w:r>
      <w:r>
        <w:rPr>
          <w:rFonts w:ascii="Arial" w:eastAsia="Arial" w:hAnsi="Arial" w:cs="Arial"/>
          <w:sz w:val="24"/>
          <w:szCs w:val="24"/>
        </w:rPr>
        <w:t>n evidència el gran potencial de les eines digitals per aportar precisió a l’anàlisi de restes humanes arqueològiques”, explica Francesc Marginedas, autor principal del treball. “Aquest enfocament obre la porta a aplicar tècniques similars en altres contex</w:t>
      </w:r>
      <w:r>
        <w:rPr>
          <w:rFonts w:ascii="Arial" w:eastAsia="Arial" w:hAnsi="Arial" w:cs="Arial"/>
          <w:sz w:val="24"/>
          <w:szCs w:val="24"/>
        </w:rPr>
        <w:t xml:space="preserve">tos arqueològics amb problemàtiques similars”, afegeix. </w:t>
      </w:r>
    </w:p>
    <w:p w14:paraId="4EFFBF6D"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L’equip investigador va comparar les característiques de les fractures de la calota amb mostres de fractures fresques i seques d’altres jaciments com la cova de El Mirador (Sierra de Atapuerca, Burgo</w:t>
      </w:r>
      <w:r>
        <w:rPr>
          <w:rFonts w:ascii="Arial" w:eastAsia="Arial" w:hAnsi="Arial" w:cs="Arial"/>
          <w:sz w:val="24"/>
          <w:szCs w:val="24"/>
        </w:rPr>
        <w:t>s) i les restes del cementiri històric del segle XIX de l’Abric Romaní (Capellades, Barcelona). Utilitzant tècniques avançades de computació, es van analitzar variables com la textura, l’angle i la trajectòria de les fractures. La precisió dels models empr</w:t>
      </w:r>
      <w:r>
        <w:rPr>
          <w:rFonts w:ascii="Arial" w:eastAsia="Arial" w:hAnsi="Arial" w:cs="Arial"/>
          <w:sz w:val="24"/>
          <w:szCs w:val="24"/>
        </w:rPr>
        <w:t>ats va arribar a 100% en la classificació de fractures, evidenciant la fiabilitat d’aquestes tècniques.</w:t>
      </w:r>
    </w:p>
    <w:p w14:paraId="445F9F1A" w14:textId="77777777" w:rsidR="00801587" w:rsidRDefault="004C2919">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Resultats que redefineixen paradigmes</w:t>
      </w:r>
    </w:p>
    <w:p w14:paraId="23678582"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Els resultats confirmen que les fractures de la calota de Txispiri són típiques de processos naturals, destacant q</w:t>
      </w:r>
      <w:r>
        <w:rPr>
          <w:rFonts w:ascii="Arial" w:eastAsia="Arial" w:hAnsi="Arial" w:cs="Arial"/>
          <w:sz w:val="24"/>
          <w:szCs w:val="24"/>
        </w:rPr>
        <w:t>ue formes similars als cranis copa poden sorgir de manera espontània sense intervenció humana. Es un cas clarament oposat al conjunt de sis cranis de la Edat del Bronze de la cova de El Mirador. Aquests últims elements van ser elaborats i possiblement util</w:t>
      </w:r>
      <w:r>
        <w:rPr>
          <w:rFonts w:ascii="Arial" w:eastAsia="Arial" w:hAnsi="Arial" w:cs="Arial"/>
          <w:sz w:val="24"/>
          <w:szCs w:val="24"/>
        </w:rPr>
        <w:t>itzats en ceremonies relacionades amb el canibalisme practicat per aquestes poblacions.</w:t>
      </w:r>
    </w:p>
    <w:p w14:paraId="557996A1"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Aquest enfocament tecnològic no només aporta una nova perspectiva sobre la calota de Txispiri, sinó que també ofereix una eina revolucionària per analitzar altres reste</w:t>
      </w:r>
      <w:r>
        <w:rPr>
          <w:rFonts w:ascii="Arial" w:eastAsia="Arial" w:hAnsi="Arial" w:cs="Arial"/>
          <w:sz w:val="24"/>
          <w:szCs w:val="24"/>
        </w:rPr>
        <w:t xml:space="preserve">s fragmentades en contextos arqueològics complexos. </w:t>
      </w:r>
    </w:p>
    <w:p w14:paraId="3494867D" w14:textId="77777777" w:rsidR="00801587" w:rsidRDefault="00801587">
      <w:pPr>
        <w:pBdr>
          <w:top w:val="nil"/>
          <w:left w:val="nil"/>
          <w:bottom w:val="nil"/>
          <w:right w:val="nil"/>
          <w:between w:val="nil"/>
        </w:pBdr>
        <w:jc w:val="both"/>
        <w:rPr>
          <w:rFonts w:ascii="Arial" w:eastAsia="Arial" w:hAnsi="Arial" w:cs="Arial"/>
          <w:sz w:val="24"/>
          <w:szCs w:val="24"/>
        </w:rPr>
      </w:pPr>
    </w:p>
    <w:p w14:paraId="40F847BF" w14:textId="77777777" w:rsidR="00801587" w:rsidRDefault="004C2919">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Cita bibliogràfica</w:t>
      </w:r>
    </w:p>
    <w:p w14:paraId="0FE5382A"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Marginedas, F., Monclán, A., Cubas, M., Gómez-Olivencia, A., Saladié, P., Rodríguez-Hidalgo, A. (2024). Alteration by natural processes or anthropogenic manipulation? Assessing human </w:t>
      </w:r>
      <w:r>
        <w:rPr>
          <w:rFonts w:ascii="Arial" w:eastAsia="Arial" w:hAnsi="Arial" w:cs="Arial"/>
          <w:sz w:val="24"/>
          <w:szCs w:val="24"/>
        </w:rPr>
        <w:t xml:space="preserve">skull breakage through machine learning algorithms. </w:t>
      </w:r>
      <w:r>
        <w:rPr>
          <w:rFonts w:ascii="Arial" w:eastAsia="Arial" w:hAnsi="Arial" w:cs="Arial"/>
          <w:i/>
          <w:sz w:val="24"/>
          <w:szCs w:val="24"/>
        </w:rPr>
        <w:t>Archaeological and Anthropological Sciences</w:t>
      </w:r>
      <w:r>
        <w:rPr>
          <w:rFonts w:ascii="Arial" w:eastAsia="Arial" w:hAnsi="Arial" w:cs="Arial"/>
          <w:sz w:val="24"/>
          <w:szCs w:val="24"/>
        </w:rPr>
        <w:t xml:space="preserve">, 16(178). </w:t>
      </w:r>
    </w:p>
    <w:p w14:paraId="67A86B90" w14:textId="77777777" w:rsidR="00801587" w:rsidRDefault="004C2919">
      <w:pPr>
        <w:pBdr>
          <w:top w:val="nil"/>
          <w:left w:val="nil"/>
          <w:bottom w:val="nil"/>
          <w:right w:val="nil"/>
          <w:between w:val="nil"/>
        </w:pBdr>
        <w:jc w:val="both"/>
        <w:rPr>
          <w:rFonts w:ascii="Arial" w:eastAsia="Arial" w:hAnsi="Arial" w:cs="Arial"/>
          <w:sz w:val="24"/>
          <w:szCs w:val="24"/>
        </w:rPr>
      </w:pPr>
      <w:hyperlink r:id="rId10">
        <w:r>
          <w:rPr>
            <w:rFonts w:ascii="Arial" w:eastAsia="Arial" w:hAnsi="Arial" w:cs="Arial"/>
            <w:color w:val="1155CC"/>
            <w:sz w:val="24"/>
            <w:szCs w:val="24"/>
            <w:u w:val="single"/>
          </w:rPr>
          <w:t xml:space="preserve">DOI: 10.1007/s12520-024-02083-5 </w:t>
        </w:r>
      </w:hyperlink>
      <w:r>
        <w:rPr>
          <w:rFonts w:ascii="Arial" w:eastAsia="Arial" w:hAnsi="Arial" w:cs="Arial"/>
          <w:sz w:val="24"/>
          <w:szCs w:val="24"/>
        </w:rPr>
        <w:t xml:space="preserve">        </w:t>
      </w:r>
    </w:p>
    <w:p w14:paraId="43335804" w14:textId="77777777" w:rsidR="00801587" w:rsidRDefault="00801587">
      <w:pPr>
        <w:pBdr>
          <w:top w:val="nil"/>
          <w:left w:val="nil"/>
          <w:bottom w:val="nil"/>
          <w:right w:val="nil"/>
          <w:between w:val="nil"/>
        </w:pBdr>
        <w:jc w:val="both"/>
        <w:rPr>
          <w:rFonts w:ascii="Arial" w:eastAsia="Arial" w:hAnsi="Arial" w:cs="Arial"/>
          <w:sz w:val="24"/>
          <w:szCs w:val="24"/>
        </w:rPr>
      </w:pPr>
    </w:p>
    <w:p w14:paraId="23C47017" w14:textId="77777777" w:rsidR="00801587" w:rsidRDefault="004C2919">
      <w:p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Peus de foto i autoria:</w:t>
      </w:r>
    </w:p>
    <w:p w14:paraId="420CE5A4"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Fot</w:t>
      </w:r>
      <w:r>
        <w:rPr>
          <w:rFonts w:ascii="Arial" w:eastAsia="Arial" w:hAnsi="Arial" w:cs="Arial"/>
          <w:sz w:val="24"/>
          <w:szCs w:val="24"/>
        </w:rPr>
        <w:t>o_1: Calota del jaciment de Txsipiri i localització dels jaciments de El Mirador (Atapuerca) i Abric Romaní (Capellades). Autoria: IPHES-CERCA</w:t>
      </w:r>
    </w:p>
    <w:p w14:paraId="03D2A2C4" w14:textId="77777777" w:rsidR="00801587" w:rsidRDefault="004C291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Foto_2: Modificacions tafonòmiques de la calota de Txsipiri. Autoria: IPHES-CERCA</w:t>
      </w:r>
    </w:p>
    <w:sectPr w:rsidR="00801587">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45AA3" w14:textId="77777777" w:rsidR="00000000" w:rsidRDefault="004C2919">
      <w:pPr>
        <w:spacing w:after="0" w:line="240" w:lineRule="auto"/>
      </w:pPr>
      <w:r>
        <w:separator/>
      </w:r>
    </w:p>
  </w:endnote>
  <w:endnote w:type="continuationSeparator" w:id="0">
    <w:p w14:paraId="03275EBA" w14:textId="77777777" w:rsidR="00000000" w:rsidRDefault="004C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Liberation Serif">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A8331" w14:textId="77777777" w:rsidR="00801587" w:rsidRDefault="004C2919">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55F7AAE4" w14:textId="77777777" w:rsidR="00801587" w:rsidRDefault="004C291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1963E098" w14:textId="77777777" w:rsidR="00801587" w:rsidRDefault="004C291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27ABF30C" w14:textId="77777777" w:rsidR="00801587" w:rsidRDefault="004C291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0A97E64F" w14:textId="77777777" w:rsidR="00801587" w:rsidRDefault="004C2919">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FE74" w14:textId="77777777" w:rsidR="00801587" w:rsidRDefault="004C2919">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13E08654" w14:textId="77777777" w:rsidR="00801587" w:rsidRDefault="004C291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278E045B" w14:textId="77777777" w:rsidR="00801587" w:rsidRDefault="004C291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0E49E79C" w14:textId="77777777" w:rsidR="00801587" w:rsidRDefault="004C291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44470943" w14:textId="77777777" w:rsidR="00801587" w:rsidRDefault="004C2919">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w:t>
    </w:r>
    <w:r>
      <w:rPr>
        <w:color w:val="000000"/>
        <w:sz w:val="16"/>
        <w:szCs w:val="16"/>
      </w:rPr>
      <w:t>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AF90B" w14:textId="77777777" w:rsidR="00000000" w:rsidRDefault="004C2919">
      <w:pPr>
        <w:spacing w:after="0" w:line="240" w:lineRule="auto"/>
      </w:pPr>
      <w:r>
        <w:separator/>
      </w:r>
    </w:p>
  </w:footnote>
  <w:footnote w:type="continuationSeparator" w:id="0">
    <w:p w14:paraId="4A891773" w14:textId="77777777" w:rsidR="00000000" w:rsidRDefault="004C29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8A80" w14:textId="77777777" w:rsidR="00801587" w:rsidRDefault="004C2919">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8901715" w14:textId="77777777" w:rsidR="00801587" w:rsidRDefault="00801587">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5AD25E83" w14:textId="77777777" w:rsidR="00801587" w:rsidRDefault="00801587">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B62FA" w14:textId="77777777" w:rsidR="00801587" w:rsidRDefault="00801587">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7210E2F1" w14:textId="77777777" w:rsidR="00801587" w:rsidRDefault="00801587">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tbl>
    <w:tblPr>
      <w:tblStyle w:val="a0"/>
      <w:tblW w:w="928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7"/>
      <w:gridCol w:w="2679"/>
      <w:gridCol w:w="2413"/>
      <w:gridCol w:w="1769"/>
    </w:tblGrid>
    <w:tr w:rsidR="00801587" w14:paraId="6875FF8B" w14:textId="77777777">
      <w:tc>
        <w:tcPr>
          <w:tcW w:w="2427" w:type="dxa"/>
          <w:tcBorders>
            <w:top w:val="nil"/>
            <w:left w:val="nil"/>
            <w:bottom w:val="nil"/>
            <w:right w:val="nil"/>
          </w:tcBorders>
        </w:tcPr>
        <w:p w14:paraId="0CDF1FE4" w14:textId="77777777" w:rsidR="00801587" w:rsidRDefault="004C2919">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rPr>
            <w:drawing>
              <wp:inline distT="0" distB="0" distL="0" distR="0" wp14:anchorId="747632B7" wp14:editId="75847988">
                <wp:extent cx="1483995" cy="74866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3995" cy="748665"/>
                        </a:xfrm>
                        <a:prstGeom prst="rect">
                          <a:avLst/>
                        </a:prstGeom>
                        <a:ln/>
                      </pic:spPr>
                    </pic:pic>
                  </a:graphicData>
                </a:graphic>
              </wp:inline>
            </w:drawing>
          </w:r>
        </w:p>
      </w:tc>
      <w:tc>
        <w:tcPr>
          <w:tcW w:w="2679" w:type="dxa"/>
          <w:tcBorders>
            <w:top w:val="nil"/>
            <w:left w:val="nil"/>
            <w:bottom w:val="nil"/>
            <w:right w:val="nil"/>
          </w:tcBorders>
        </w:tcPr>
        <w:p w14:paraId="66D73216" w14:textId="77777777" w:rsidR="00801587" w:rsidRDefault="004C2919">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rPr>
            <w:drawing>
              <wp:inline distT="0" distB="0" distL="0" distR="0" wp14:anchorId="76375BB3" wp14:editId="44C5E7A0">
                <wp:extent cx="1645920" cy="7620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5920" cy="762000"/>
                        </a:xfrm>
                        <a:prstGeom prst="rect">
                          <a:avLst/>
                        </a:prstGeom>
                        <a:ln/>
                      </pic:spPr>
                    </pic:pic>
                  </a:graphicData>
                </a:graphic>
              </wp:inline>
            </w:drawing>
          </w:r>
        </w:p>
      </w:tc>
      <w:tc>
        <w:tcPr>
          <w:tcW w:w="2413" w:type="dxa"/>
          <w:tcBorders>
            <w:top w:val="nil"/>
            <w:left w:val="nil"/>
            <w:bottom w:val="nil"/>
            <w:right w:val="nil"/>
          </w:tcBorders>
        </w:tcPr>
        <w:p w14:paraId="68A96209" w14:textId="77777777" w:rsidR="00801587" w:rsidRDefault="004C2919">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rPr>
            <w:drawing>
              <wp:inline distT="0" distB="0" distL="0" distR="0" wp14:anchorId="7753B9DE" wp14:editId="620E6432">
                <wp:extent cx="1464945" cy="760730"/>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464945" cy="760730"/>
                        </a:xfrm>
                        <a:prstGeom prst="rect">
                          <a:avLst/>
                        </a:prstGeom>
                        <a:ln/>
                      </pic:spPr>
                    </pic:pic>
                  </a:graphicData>
                </a:graphic>
              </wp:inline>
            </w:drawing>
          </w:r>
        </w:p>
      </w:tc>
      <w:tc>
        <w:tcPr>
          <w:tcW w:w="1769" w:type="dxa"/>
          <w:tcBorders>
            <w:top w:val="nil"/>
            <w:left w:val="nil"/>
            <w:bottom w:val="nil"/>
            <w:right w:val="nil"/>
          </w:tcBorders>
        </w:tcPr>
        <w:p w14:paraId="4522F0A0" w14:textId="77777777" w:rsidR="00801587" w:rsidRDefault="004C2919">
          <w:pPr>
            <w:widowControl w:v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noProof/>
              <w:color w:val="000000"/>
            </w:rPr>
            <w:drawing>
              <wp:inline distT="0" distB="0" distL="0" distR="0" wp14:anchorId="5D26B764" wp14:editId="31566061">
                <wp:extent cx="1037590" cy="702945"/>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1037590" cy="702945"/>
                        </a:xfrm>
                        <a:prstGeom prst="rect">
                          <a:avLst/>
                        </a:prstGeom>
                        <a:ln/>
                      </pic:spPr>
                    </pic:pic>
                  </a:graphicData>
                </a:graphic>
              </wp:inline>
            </w:drawing>
          </w:r>
        </w:p>
      </w:tc>
    </w:tr>
  </w:tbl>
  <w:p w14:paraId="11D95409" w14:textId="77777777" w:rsidR="00801587" w:rsidRDefault="00801587">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59799D42" w14:textId="77777777" w:rsidR="00801587" w:rsidRDefault="00801587">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2992CB76" w14:textId="77777777" w:rsidR="00801587" w:rsidRDefault="004C2919">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color w:val="A03033"/>
        <w:sz w:val="32"/>
        <w:szCs w:val="32"/>
      </w:rPr>
      <w:t>NOTA DE PREMSA</w:t>
    </w:r>
  </w:p>
  <w:p w14:paraId="7F944993" w14:textId="77777777" w:rsidR="00801587" w:rsidRDefault="004C2919">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76D79931" w14:textId="77777777" w:rsidR="00801587" w:rsidRDefault="004C2919">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481CD254" w14:textId="77777777" w:rsidR="00801587" w:rsidRDefault="0080158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01587"/>
    <w:rsid w:val="004C2919"/>
    <w:rsid w:val="008015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1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366091"/>
      <w:sz w:val="32"/>
      <w:szCs w:val="32"/>
    </w:rPr>
  </w:style>
  <w:style w:type="paragraph" w:styleId="Ttulo2">
    <w:name w:val="heading 2"/>
    <w:basedOn w:val="Normal"/>
    <w:next w:val="Normal"/>
    <w:uiPriority w:val="9"/>
    <w:semiHidden/>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link w:val="Ttulo1Car"/>
    <w:uiPriority w:val="9"/>
    <w:qFormat/>
    <w:rsid w:val="00EF2D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Ttulo21">
    <w:name w:val="Título 21"/>
    <w:basedOn w:val="Encapalament"/>
    <w:next w:val="Textodecuerpo"/>
    <w:qFormat/>
    <w:pPr>
      <w:spacing w:before="200"/>
      <w:outlineLvl w:val="1"/>
    </w:pPr>
    <w:rPr>
      <w:rFonts w:ascii="Liberation Serif" w:eastAsia="Segoe UI" w:hAnsi="Liberation Serif" w:cs="Tahoma"/>
      <w:b/>
      <w:bCs/>
      <w:sz w:val="36"/>
      <w:szCs w:val="36"/>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Encabezado1"/>
    <w:uiPriority w:val="99"/>
    <w:qFormat/>
    <w:rsid w:val="00AA788A"/>
  </w:style>
  <w:style w:type="character" w:customStyle="1" w:styleId="PiedepginaCar">
    <w:name w:val="Pie de página Car"/>
    <w:basedOn w:val="Fuentedeprrafopredeter"/>
    <w:link w:val="Piedepgina1"/>
    <w:uiPriority w:val="99"/>
    <w:qFormat/>
    <w:rsid w:val="00AA788A"/>
  </w:style>
  <w:style w:type="character" w:customStyle="1" w:styleId="EnlladInternet">
    <w:name w:val="Enllaç d'Internet"/>
    <w:basedOn w:val="Fuentedeprrafopredeter"/>
    <w:uiPriority w:val="99"/>
    <w:unhideWhenUsed/>
    <w:rsid w:val="00E431C7"/>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character" w:styleId="Refdecomentario">
    <w:name w:val="annotation reference"/>
    <w:basedOn w:val="Fuentedeprrafopredeter"/>
    <w:uiPriority w:val="99"/>
    <w:semiHidden/>
    <w:unhideWhenUsed/>
    <w:qFormat/>
    <w:rsid w:val="0030041A"/>
    <w:rPr>
      <w:sz w:val="16"/>
      <w:szCs w:val="16"/>
    </w:rPr>
  </w:style>
  <w:style w:type="character" w:customStyle="1" w:styleId="TextocomentarioCar">
    <w:name w:val="Texto comentario Car"/>
    <w:basedOn w:val="Fuentedeprrafopredeter"/>
    <w:link w:val="Textocomentario"/>
    <w:uiPriority w:val="99"/>
    <w:semiHidden/>
    <w:qFormat/>
    <w:rsid w:val="0030041A"/>
    <w:rPr>
      <w:sz w:val="20"/>
      <w:szCs w:val="20"/>
    </w:rPr>
  </w:style>
  <w:style w:type="character" w:customStyle="1" w:styleId="AsuntodelcomentarioCar">
    <w:name w:val="Asunto del comentario Car"/>
    <w:basedOn w:val="TextocomentarioCar"/>
    <w:link w:val="Asuntodelcomentario"/>
    <w:uiPriority w:val="99"/>
    <w:semiHidden/>
    <w:qFormat/>
    <w:rsid w:val="0030041A"/>
    <w:rPr>
      <w:b/>
      <w:bCs/>
      <w:sz w:val="20"/>
      <w:szCs w:val="20"/>
    </w:rPr>
  </w:style>
  <w:style w:type="character" w:customStyle="1" w:styleId="mfasifort">
    <w:name w:val="Èmfasi fort"/>
    <w:qFormat/>
    <w:rPr>
      <w:b/>
      <w:bCs/>
    </w:rPr>
  </w:style>
  <w:style w:type="character" w:customStyle="1" w:styleId="mfasi">
    <w:name w:val="Èmfasi"/>
    <w:qFormat/>
    <w:rPr>
      <w:i/>
      <w:iCs/>
    </w:rPr>
  </w:style>
  <w:style w:type="character" w:customStyle="1" w:styleId="Ttulo1Car">
    <w:name w:val="Título 1 Car"/>
    <w:basedOn w:val="Fuentedeprrafopredeter"/>
    <w:link w:val="Ttulo11"/>
    <w:uiPriority w:val="9"/>
    <w:qFormat/>
    <w:rsid w:val="00EF2DD9"/>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qFormat/>
    <w:rsid w:val="00C502D9"/>
    <w:rPr>
      <w:color w:val="605E5C"/>
      <w:shd w:val="clear" w:color="auto" w:fill="E1DFDD"/>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Ttulo110">
    <w:name w:val="Título 11"/>
    <w:basedOn w:val="Normal1"/>
    <w:next w:val="Normal1"/>
    <w:qFormat/>
    <w:pPr>
      <w:keepNext/>
      <w:keepLines/>
      <w:spacing w:before="480" w:after="120"/>
      <w:outlineLvl w:val="0"/>
    </w:pPr>
    <w:rPr>
      <w:b/>
      <w:color w:val="000000"/>
      <w:sz w:val="48"/>
      <w:szCs w:val="48"/>
    </w:rPr>
  </w:style>
  <w:style w:type="paragraph" w:customStyle="1" w:styleId="Ttulo210">
    <w:name w:val="Título 21"/>
    <w:basedOn w:val="Normal1"/>
    <w:next w:val="Normal1"/>
    <w:qFormat/>
    <w:pPr>
      <w:keepNext/>
      <w:keepLines/>
      <w:spacing w:before="360" w:after="80"/>
      <w:outlineLvl w:val="1"/>
    </w:pPr>
    <w:rPr>
      <w:b/>
      <w:color w:val="000000"/>
      <w:sz w:val="36"/>
      <w:szCs w:val="36"/>
    </w:rPr>
  </w:style>
  <w:style w:type="paragraph" w:customStyle="1" w:styleId="Ttulo31">
    <w:name w:val="Título 31"/>
    <w:basedOn w:val="Normal1"/>
    <w:next w:val="Normal1"/>
    <w:qFormat/>
    <w:pPr>
      <w:keepNext/>
      <w:keepLines/>
      <w:spacing w:before="280" w:after="80"/>
      <w:outlineLvl w:val="2"/>
    </w:pPr>
    <w:rPr>
      <w:b/>
      <w:color w:val="000000"/>
      <w:sz w:val="28"/>
      <w:szCs w:val="28"/>
    </w:rPr>
  </w:style>
  <w:style w:type="paragraph" w:customStyle="1" w:styleId="Ttulo41">
    <w:name w:val="Título 41"/>
    <w:basedOn w:val="Normal1"/>
    <w:next w:val="Normal1"/>
    <w:qFormat/>
    <w:pPr>
      <w:keepNext/>
      <w:keepLines/>
      <w:spacing w:before="240" w:after="40"/>
      <w:outlineLvl w:val="3"/>
    </w:pPr>
    <w:rPr>
      <w:b/>
      <w:color w:val="000000"/>
      <w:sz w:val="24"/>
      <w:szCs w:val="24"/>
    </w:rPr>
  </w:style>
  <w:style w:type="paragraph" w:customStyle="1" w:styleId="Ttulo51">
    <w:name w:val="Título 51"/>
    <w:basedOn w:val="Normal1"/>
    <w:next w:val="Normal1"/>
    <w:qFormat/>
    <w:pPr>
      <w:keepNext/>
      <w:keepLines/>
      <w:spacing w:before="220" w:after="40"/>
      <w:outlineLvl w:val="4"/>
    </w:pPr>
    <w:rPr>
      <w:b/>
      <w:color w:val="000000"/>
    </w:rPr>
  </w:style>
  <w:style w:type="paragraph" w:customStyle="1" w:styleId="Ttulo61">
    <w:name w:val="Título 61"/>
    <w:basedOn w:val="Normal1"/>
    <w:next w:val="Normal1"/>
    <w:qFormat/>
    <w:pPr>
      <w:keepNext/>
      <w:keepLines/>
      <w:spacing w:before="200" w:after="40"/>
      <w:outlineLvl w:val="5"/>
    </w:pPr>
    <w:rPr>
      <w:b/>
      <w:color w:val="000000"/>
      <w:sz w:val="20"/>
      <w:szCs w:val="20"/>
    </w:rPr>
  </w:style>
  <w:style w:type="paragraph" w:customStyle="1" w:styleId="Descripcin10">
    <w:name w:val="Descripción1"/>
    <w:basedOn w:val="Normal"/>
    <w:qFormat/>
    <w:pPr>
      <w:suppressLineNumbers/>
      <w:spacing w:before="120" w:after="120"/>
    </w:pPr>
    <w:rPr>
      <w:rFonts w:cs="Lucida Sans"/>
      <w:i/>
      <w:iCs/>
      <w:sz w:val="24"/>
      <w:szCs w:val="24"/>
    </w:rPr>
  </w:style>
  <w:style w:type="paragraph" w:customStyle="1" w:styleId="Normal1">
    <w:name w:val="Norm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Encabezado1">
    <w:name w:val="Encabezado1"/>
    <w:basedOn w:val="Normal"/>
    <w:link w:val="EncabezadoCar"/>
    <w:uiPriority w:val="99"/>
    <w:unhideWhenUsed/>
    <w:qFormat/>
    <w:rsid w:val="00AA788A"/>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qFormat/>
    <w:rsid w:val="00AA788A"/>
    <w:pPr>
      <w:tabs>
        <w:tab w:val="center" w:pos="4252"/>
        <w:tab w:val="right" w:pos="8504"/>
      </w:tabs>
      <w:spacing w:after="0" w:line="240" w:lineRule="auto"/>
    </w:pPr>
  </w:style>
  <w:style w:type="paragraph" w:styleId="NormalWeb">
    <w:name w:val="Normal (Web)"/>
    <w:basedOn w:val="Normal"/>
    <w:uiPriority w:val="99"/>
    <w:semiHidden/>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paragraph" w:styleId="Textocomentario">
    <w:name w:val="annotation text"/>
    <w:basedOn w:val="Normal"/>
    <w:link w:val="TextocomentarioCar"/>
    <w:uiPriority w:val="99"/>
    <w:semiHidden/>
    <w:unhideWhenUsed/>
    <w:qFormat/>
    <w:rsid w:val="0030041A"/>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0041A"/>
    <w:rPr>
      <w:b/>
      <w:bCs/>
    </w:rPr>
  </w:style>
  <w:style w:type="paragraph" w:customStyle="1" w:styleId="Encabezado2">
    <w:name w:val="Encabezado2"/>
    <w:basedOn w:val="Capaleraipeu"/>
  </w:style>
  <w:style w:type="paragraph" w:customStyle="1" w:styleId="Piedepgina2">
    <w:name w:val="Pie de página2"/>
    <w:basedOn w:val="Capaleraipeu"/>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AA788A"/>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664566"/>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64566"/>
  </w:style>
  <w:style w:type="paragraph" w:styleId="Piedepgina">
    <w:name w:val="footer"/>
    <w:basedOn w:val="Normal"/>
    <w:link w:val="PiedepginaCar1"/>
    <w:uiPriority w:val="99"/>
    <w:unhideWhenUsed/>
    <w:rsid w:val="00664566"/>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64566"/>
  </w:style>
  <w:style w:type="table" w:customStyle="1" w:styleId="a">
    <w:basedOn w:val="TableNormal1"/>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C63F92"/>
    <w:rPr>
      <w:color w:val="0000FF" w:themeColor="hyperlink"/>
      <w:u w:val="single"/>
    </w:r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366091"/>
      <w:sz w:val="32"/>
      <w:szCs w:val="32"/>
    </w:rPr>
  </w:style>
  <w:style w:type="paragraph" w:styleId="Ttulo2">
    <w:name w:val="heading 2"/>
    <w:basedOn w:val="Normal"/>
    <w:next w:val="Normal"/>
    <w:uiPriority w:val="9"/>
    <w:semiHidden/>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link w:val="Ttulo1Car"/>
    <w:uiPriority w:val="9"/>
    <w:qFormat/>
    <w:rsid w:val="00EF2D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Ttulo21">
    <w:name w:val="Título 21"/>
    <w:basedOn w:val="Encapalament"/>
    <w:next w:val="Textodecuerpo"/>
    <w:qFormat/>
    <w:pPr>
      <w:spacing w:before="200"/>
      <w:outlineLvl w:val="1"/>
    </w:pPr>
    <w:rPr>
      <w:rFonts w:ascii="Liberation Serif" w:eastAsia="Segoe UI" w:hAnsi="Liberation Serif" w:cs="Tahoma"/>
      <w:b/>
      <w:bCs/>
      <w:sz w:val="36"/>
      <w:szCs w:val="36"/>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Encabezado1"/>
    <w:uiPriority w:val="99"/>
    <w:qFormat/>
    <w:rsid w:val="00AA788A"/>
  </w:style>
  <w:style w:type="character" w:customStyle="1" w:styleId="PiedepginaCar">
    <w:name w:val="Pie de página Car"/>
    <w:basedOn w:val="Fuentedeprrafopredeter"/>
    <w:link w:val="Piedepgina1"/>
    <w:uiPriority w:val="99"/>
    <w:qFormat/>
    <w:rsid w:val="00AA788A"/>
  </w:style>
  <w:style w:type="character" w:customStyle="1" w:styleId="EnlladInternet">
    <w:name w:val="Enllaç d'Internet"/>
    <w:basedOn w:val="Fuentedeprrafopredeter"/>
    <w:uiPriority w:val="99"/>
    <w:unhideWhenUsed/>
    <w:rsid w:val="00E431C7"/>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character" w:styleId="Refdecomentario">
    <w:name w:val="annotation reference"/>
    <w:basedOn w:val="Fuentedeprrafopredeter"/>
    <w:uiPriority w:val="99"/>
    <w:semiHidden/>
    <w:unhideWhenUsed/>
    <w:qFormat/>
    <w:rsid w:val="0030041A"/>
    <w:rPr>
      <w:sz w:val="16"/>
      <w:szCs w:val="16"/>
    </w:rPr>
  </w:style>
  <w:style w:type="character" w:customStyle="1" w:styleId="TextocomentarioCar">
    <w:name w:val="Texto comentario Car"/>
    <w:basedOn w:val="Fuentedeprrafopredeter"/>
    <w:link w:val="Textocomentario"/>
    <w:uiPriority w:val="99"/>
    <w:semiHidden/>
    <w:qFormat/>
    <w:rsid w:val="0030041A"/>
    <w:rPr>
      <w:sz w:val="20"/>
      <w:szCs w:val="20"/>
    </w:rPr>
  </w:style>
  <w:style w:type="character" w:customStyle="1" w:styleId="AsuntodelcomentarioCar">
    <w:name w:val="Asunto del comentario Car"/>
    <w:basedOn w:val="TextocomentarioCar"/>
    <w:link w:val="Asuntodelcomentario"/>
    <w:uiPriority w:val="99"/>
    <w:semiHidden/>
    <w:qFormat/>
    <w:rsid w:val="0030041A"/>
    <w:rPr>
      <w:b/>
      <w:bCs/>
      <w:sz w:val="20"/>
      <w:szCs w:val="20"/>
    </w:rPr>
  </w:style>
  <w:style w:type="character" w:customStyle="1" w:styleId="mfasifort">
    <w:name w:val="Èmfasi fort"/>
    <w:qFormat/>
    <w:rPr>
      <w:b/>
      <w:bCs/>
    </w:rPr>
  </w:style>
  <w:style w:type="character" w:customStyle="1" w:styleId="mfasi">
    <w:name w:val="Èmfasi"/>
    <w:qFormat/>
    <w:rPr>
      <w:i/>
      <w:iCs/>
    </w:rPr>
  </w:style>
  <w:style w:type="character" w:customStyle="1" w:styleId="Ttulo1Car">
    <w:name w:val="Título 1 Car"/>
    <w:basedOn w:val="Fuentedeprrafopredeter"/>
    <w:link w:val="Ttulo11"/>
    <w:uiPriority w:val="9"/>
    <w:qFormat/>
    <w:rsid w:val="00EF2DD9"/>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qFormat/>
    <w:rsid w:val="00C502D9"/>
    <w:rPr>
      <w:color w:val="605E5C"/>
      <w:shd w:val="clear" w:color="auto" w:fill="E1DFDD"/>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Ttulo110">
    <w:name w:val="Título 11"/>
    <w:basedOn w:val="Normal1"/>
    <w:next w:val="Normal1"/>
    <w:qFormat/>
    <w:pPr>
      <w:keepNext/>
      <w:keepLines/>
      <w:spacing w:before="480" w:after="120"/>
      <w:outlineLvl w:val="0"/>
    </w:pPr>
    <w:rPr>
      <w:b/>
      <w:color w:val="000000"/>
      <w:sz w:val="48"/>
      <w:szCs w:val="48"/>
    </w:rPr>
  </w:style>
  <w:style w:type="paragraph" w:customStyle="1" w:styleId="Ttulo210">
    <w:name w:val="Título 21"/>
    <w:basedOn w:val="Normal1"/>
    <w:next w:val="Normal1"/>
    <w:qFormat/>
    <w:pPr>
      <w:keepNext/>
      <w:keepLines/>
      <w:spacing w:before="360" w:after="80"/>
      <w:outlineLvl w:val="1"/>
    </w:pPr>
    <w:rPr>
      <w:b/>
      <w:color w:val="000000"/>
      <w:sz w:val="36"/>
      <w:szCs w:val="36"/>
    </w:rPr>
  </w:style>
  <w:style w:type="paragraph" w:customStyle="1" w:styleId="Ttulo31">
    <w:name w:val="Título 31"/>
    <w:basedOn w:val="Normal1"/>
    <w:next w:val="Normal1"/>
    <w:qFormat/>
    <w:pPr>
      <w:keepNext/>
      <w:keepLines/>
      <w:spacing w:before="280" w:after="80"/>
      <w:outlineLvl w:val="2"/>
    </w:pPr>
    <w:rPr>
      <w:b/>
      <w:color w:val="000000"/>
      <w:sz w:val="28"/>
      <w:szCs w:val="28"/>
    </w:rPr>
  </w:style>
  <w:style w:type="paragraph" w:customStyle="1" w:styleId="Ttulo41">
    <w:name w:val="Título 41"/>
    <w:basedOn w:val="Normal1"/>
    <w:next w:val="Normal1"/>
    <w:qFormat/>
    <w:pPr>
      <w:keepNext/>
      <w:keepLines/>
      <w:spacing w:before="240" w:after="40"/>
      <w:outlineLvl w:val="3"/>
    </w:pPr>
    <w:rPr>
      <w:b/>
      <w:color w:val="000000"/>
      <w:sz w:val="24"/>
      <w:szCs w:val="24"/>
    </w:rPr>
  </w:style>
  <w:style w:type="paragraph" w:customStyle="1" w:styleId="Ttulo51">
    <w:name w:val="Título 51"/>
    <w:basedOn w:val="Normal1"/>
    <w:next w:val="Normal1"/>
    <w:qFormat/>
    <w:pPr>
      <w:keepNext/>
      <w:keepLines/>
      <w:spacing w:before="220" w:after="40"/>
      <w:outlineLvl w:val="4"/>
    </w:pPr>
    <w:rPr>
      <w:b/>
      <w:color w:val="000000"/>
    </w:rPr>
  </w:style>
  <w:style w:type="paragraph" w:customStyle="1" w:styleId="Ttulo61">
    <w:name w:val="Título 61"/>
    <w:basedOn w:val="Normal1"/>
    <w:next w:val="Normal1"/>
    <w:qFormat/>
    <w:pPr>
      <w:keepNext/>
      <w:keepLines/>
      <w:spacing w:before="200" w:after="40"/>
      <w:outlineLvl w:val="5"/>
    </w:pPr>
    <w:rPr>
      <w:b/>
      <w:color w:val="000000"/>
      <w:sz w:val="20"/>
      <w:szCs w:val="20"/>
    </w:rPr>
  </w:style>
  <w:style w:type="paragraph" w:customStyle="1" w:styleId="Descripcin10">
    <w:name w:val="Descripción1"/>
    <w:basedOn w:val="Normal"/>
    <w:qFormat/>
    <w:pPr>
      <w:suppressLineNumbers/>
      <w:spacing w:before="120" w:after="120"/>
    </w:pPr>
    <w:rPr>
      <w:rFonts w:cs="Lucida Sans"/>
      <w:i/>
      <w:iCs/>
      <w:sz w:val="24"/>
      <w:szCs w:val="24"/>
    </w:rPr>
  </w:style>
  <w:style w:type="paragraph" w:customStyle="1" w:styleId="Normal1">
    <w:name w:val="Norm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Encabezado1">
    <w:name w:val="Encabezado1"/>
    <w:basedOn w:val="Normal"/>
    <w:link w:val="EncabezadoCar"/>
    <w:uiPriority w:val="99"/>
    <w:unhideWhenUsed/>
    <w:qFormat/>
    <w:rsid w:val="00AA788A"/>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qFormat/>
    <w:rsid w:val="00AA788A"/>
    <w:pPr>
      <w:tabs>
        <w:tab w:val="center" w:pos="4252"/>
        <w:tab w:val="right" w:pos="8504"/>
      </w:tabs>
      <w:spacing w:after="0" w:line="240" w:lineRule="auto"/>
    </w:pPr>
  </w:style>
  <w:style w:type="paragraph" w:styleId="NormalWeb">
    <w:name w:val="Normal (Web)"/>
    <w:basedOn w:val="Normal"/>
    <w:uiPriority w:val="99"/>
    <w:semiHidden/>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paragraph" w:styleId="Textocomentario">
    <w:name w:val="annotation text"/>
    <w:basedOn w:val="Normal"/>
    <w:link w:val="TextocomentarioCar"/>
    <w:uiPriority w:val="99"/>
    <w:semiHidden/>
    <w:unhideWhenUsed/>
    <w:qFormat/>
    <w:rsid w:val="0030041A"/>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0041A"/>
    <w:rPr>
      <w:b/>
      <w:bCs/>
    </w:rPr>
  </w:style>
  <w:style w:type="paragraph" w:customStyle="1" w:styleId="Encabezado2">
    <w:name w:val="Encabezado2"/>
    <w:basedOn w:val="Capaleraipeu"/>
  </w:style>
  <w:style w:type="paragraph" w:customStyle="1" w:styleId="Piedepgina2">
    <w:name w:val="Pie de página2"/>
    <w:basedOn w:val="Capaleraipeu"/>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AA788A"/>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664566"/>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64566"/>
  </w:style>
  <w:style w:type="paragraph" w:styleId="Piedepgina">
    <w:name w:val="footer"/>
    <w:basedOn w:val="Normal"/>
    <w:link w:val="PiedepginaCar1"/>
    <w:uiPriority w:val="99"/>
    <w:unhideWhenUsed/>
    <w:rsid w:val="00664566"/>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64566"/>
  </w:style>
  <w:style w:type="table" w:customStyle="1" w:styleId="a">
    <w:basedOn w:val="TableNormal1"/>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C63F92"/>
    <w:rPr>
      <w:color w:val="0000FF" w:themeColor="hyperlink"/>
      <w:u w:val="single"/>
    </w:r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ink.springer.com/article/10.1007/s12520-024-02083-5" TargetMode="External"/><Relationship Id="rId9" Type="http://schemas.openxmlformats.org/officeDocument/2006/relationships/hyperlink" Target="https://link.springer.com/article/10.1007/s12520-024-02083-5" TargetMode="External"/><Relationship Id="rId10" Type="http://schemas.openxmlformats.org/officeDocument/2006/relationships/hyperlink" Target="https://link.springer.com/article/10.1007/s12520-024-02083-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jp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3glEhUw0T0dYrYA5yzPMQqitQ==">CgMxLjAyCGguZ2pkZ3hzMgloLjMwajB6bGwyCWlkLmdqZGd4czIKaWQuMzBqMHpsbDIJaC4xZm9iOXRlOAByITFieTdmOC1VazladHdkcENPY3dVc0d6TUJEZHp2N1Y2bg==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3780</Characters>
  <Application>Microsoft Macintosh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Campeny</dc:creator>
  <cp:lastModifiedBy>Gerard Campeny Vall-llosera</cp:lastModifiedBy>
  <cp:revision>2</cp:revision>
  <dcterms:created xsi:type="dcterms:W3CDTF">2024-11-19T12:57:00Z</dcterms:created>
  <dcterms:modified xsi:type="dcterms:W3CDTF">2024-11-19T17:07:00Z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